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Human</w:t>
      </w:r>
      <w:r>
        <w:t xml:space="preserve"> </w:t>
      </w:r>
      <w:r>
        <w:t xml:space="preserve">Resources</w:t>
      </w:r>
      <w:r>
        <w:t xml:space="preserve"> </w:t>
      </w:r>
      <w:r>
        <w:t xml:space="preserve">Manager</w:t>
      </w:r>
      <w:r>
        <w:t xml:space="preserve"> </w:t>
      </w:r>
      <w:r>
        <w:t xml:space="preserve">-</w:t>
      </w:r>
      <w:r>
        <w:t xml:space="preserve"> </w:t>
      </w:r>
      <w:r>
        <w:t xml:space="preserve">Chile</w:t>
      </w:r>
      <w:r>
        <w:t xml:space="preserve"> </w:t>
      </w:r>
      <w:r>
        <w:t xml:space="preserve">Santiago</w:t>
      </w:r>
    </w:p>
    <w:bookmarkStart w:id="20" w:name="purchase-order"/>
    <w:p>
      <w:pPr>
        <w:pStyle w:val="Heading1"/>
      </w:pPr>
      <w:r>
        <w:t xml:space="preserve">PURCHASE ORDER</w:t>
      </w:r>
    </w:p>
    <w:p>
      <w:pPr>
        <w:pStyle w:val="FirstParagraph"/>
      </w:pPr>
      <w:r>
        <w:t xml:space="preserve">Procurement of Professional Services – Human Resources Manager</w:t>
      </w:r>
    </w:p>
    <w:p>
      <w:pPr>
        <w:pStyle w:val="BodyText"/>
      </w:pPr>
      <w:r>
        <w:t xml:space="preserve">Santiago, Chile</w:t>
      </w:r>
    </w:p>
    <w:bookmarkEnd w:id="20"/>
    <w:p>
      <w:pPr>
        <w:pStyle w:val="BodyText"/>
      </w:pPr>
      <w:r>
        <w:t xml:space="preserve">Purchase Order No.: PO-CHL-2025-04871</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gridSpan w:val="4"/>
          </w:tcPr>
          <w:p>
            <w:pPr>
              <w:pStyle w:val="Compact"/>
              <w:jc w:val="left"/>
            </w:pPr>
            <w:r>
              <w:t xml:space="preserve">Purchase Order Details</w:t>
            </w:r>
          </w:p>
        </w:tc>
      </w:tr>
      <w:tr>
        <w:tc>
          <w:tcPr/>
          <w:p>
            <w:pPr>
              <w:pStyle w:val="Compact"/>
              <w:jc w:val="left"/>
            </w:pPr>
            <w:r>
              <w:rPr>
                <w:bCs/>
                <w:b/>
              </w:rPr>
              <w:t xml:space="preserve">Date of Issue:</w:t>
            </w:r>
          </w:p>
        </w:tc>
        <w:tc>
          <w:tcPr/>
          <w:p>
            <w:pPr>
              <w:pStyle w:val="Compact"/>
              <w:jc w:val="left"/>
            </w:pPr>
            <w:r>
              <w:t xml:space="preserve">15 June 2025</w:t>
            </w:r>
          </w:p>
        </w:tc>
        <w:tc>
          <w:tcPr/>
          <w:p>
            <w:pPr>
              <w:pStyle w:val="Compact"/>
              <w:jc w:val="left"/>
            </w:pPr>
            <w:r>
              <w:rPr>
                <w:bCs/>
                <w:b/>
              </w:rPr>
              <w:t xml:space="preserve">Required Delivery Date:</w:t>
            </w:r>
          </w:p>
        </w:tc>
        <w:tc>
          <w:tcPr/>
          <w:p>
            <w:pPr>
              <w:pStyle w:val="Compact"/>
              <w:jc w:val="left"/>
            </w:pPr>
            <w:r>
              <w:t xml:space="preserve">01 August 2025</w:t>
            </w:r>
          </w:p>
        </w:tc>
      </w:tr>
      <w:tr>
        <w:tc>
          <w:tcPr/>
          <w:p>
            <w:pPr>
              <w:pStyle w:val="Compact"/>
              <w:jc w:val="left"/>
            </w:pPr>
            <w:r>
              <w:rPr>
                <w:bCs/>
                <w:b/>
              </w:rPr>
              <w:t xml:space="preserve">Issuing Entity:</w:t>
            </w:r>
          </w:p>
        </w:tc>
        <w:tc>
          <w:tcPr/>
          <w:p>
            <w:pPr>
              <w:pStyle w:val="Compact"/>
              <w:jc w:val="left"/>
            </w:pPr>
            <w:r>
              <w:t xml:space="preserve">Andes Corporate Solutions SpA</w:t>
            </w:r>
          </w:p>
        </w:tc>
        <w:tc>
          <w:tcPr/>
          <w:p>
            <w:pPr>
              <w:pStyle w:val="Compact"/>
              <w:jc w:val="left"/>
            </w:pPr>
            <w:r>
              <w:rPr>
                <w:bCs/>
                <w:b/>
              </w:rPr>
              <w:t xml:space="preserve">Location of Service:</w:t>
            </w:r>
          </w:p>
        </w:tc>
        <w:tc>
          <w:tcPr/>
          <w:p>
            <w:pPr>
              <w:pStyle w:val="Compact"/>
              <w:jc w:val="left"/>
            </w:pPr>
            <w:r>
              <w:t xml:space="preserve">Santiago, Chile</w:t>
            </w:r>
          </w:p>
        </w:tc>
      </w:tr>
      <w:tr>
        <w:tc>
          <w:tcPr/>
          <w:p>
            <w:pPr>
              <w:pStyle w:val="Compact"/>
              <w:jc w:val="left"/>
            </w:pPr>
            <w:r>
              <w:rPr>
                <w:bCs/>
                <w:b/>
              </w:rPr>
              <w:t xml:space="preserve">Address:</w:t>
            </w:r>
          </w:p>
        </w:tc>
        <w:tc>
          <w:tcPr>
            <w:gridSpan w:val="3"/>
          </w:tcPr>
          <w:p>
            <w:pPr>
              <w:pStyle w:val="Compact"/>
              <w:jc w:val="left"/>
            </w:pPr>
            <w:r>
              <w:t xml:space="preserve">Av. Apoquindo 4501, Piso 12, Las Condes, Santiago, Chile – RUT: 76.543.210-K</w:t>
            </w:r>
          </w:p>
        </w:tc>
      </w:tr>
      <w:tr>
        <w:tc>
          <w:tcPr/>
          <w:p>
            <w:pPr>
              <w:pStyle w:val="Compact"/>
              <w:jc w:val="left"/>
            </w:pPr>
            <w:r>
              <w:rPr>
                <w:bCs/>
                <w:b/>
              </w:rPr>
              <w:t xml:space="preserve">Supplier / Service Provider:</w:t>
            </w:r>
          </w:p>
        </w:tc>
        <w:tc>
          <w:tcPr>
            <w:gridSpan w:val="3"/>
          </w:tcPr>
          <w:p>
            <w:pPr>
              <w:pStyle w:val="Compact"/>
              <w:jc w:val="left"/>
            </w:pPr>
            <w:r>
              <w:t xml:space="preserve">Talento Humano del Pacífico Ltda. – RUT: 78.912.345-6</w:t>
            </w:r>
          </w:p>
        </w:tc>
      </w:tr>
      <w:tr>
        <w:tc>
          <w:tcPr/>
          <w:p>
            <w:pPr>
              <w:pStyle w:val="Compact"/>
              <w:jc w:val="left"/>
            </w:pPr>
            <w:r>
              <w:rPr>
                <w:bCs/>
                <w:b/>
              </w:rPr>
              <w:t xml:space="preserve">Supplier Address:</w:t>
            </w:r>
          </w:p>
        </w:tc>
        <w:tc>
          <w:tcPr>
            <w:gridSpan w:val="3"/>
          </w:tcPr>
          <w:p>
            <w:pPr>
              <w:pStyle w:val="Compact"/>
              <w:jc w:val="left"/>
            </w:pPr>
            <w:r>
              <w:t xml:space="preserve">Calle Alonso de Córdova 2100, Of. 804, Providencia, Santiago, Chile</w:t>
            </w:r>
          </w:p>
        </w:tc>
      </w:tr>
      <w:tr>
        <w:tc>
          <w:tcPr/>
          <w:p>
            <w:pPr>
              <w:pStyle w:val="Compact"/>
              <w:jc w:val="left"/>
            </w:pPr>
            <w:r>
              <w:rPr>
                <w:bCs/>
                <w:b/>
              </w:rPr>
              <w:t xml:space="preserve">Contact Person:</w:t>
            </w:r>
          </w:p>
        </w:tc>
        <w:tc>
          <w:tcPr/>
          <w:p>
            <w:pPr>
              <w:pStyle w:val="Compact"/>
              <w:jc w:val="left"/>
            </w:pPr>
            <w:r>
              <w:t xml:space="preserve">María Fernanda Rojas, Procurement Director</w:t>
            </w:r>
          </w:p>
        </w:tc>
        <w:tc>
          <w:tcPr/>
          <w:p>
            <w:pPr>
              <w:pStyle w:val="Compact"/>
              <w:jc w:val="left"/>
            </w:pPr>
            <w:r>
              <w:rPr>
                <w:bCs/>
                <w:b/>
              </w:rPr>
              <w:t xml:space="preserve">Phone:</w:t>
            </w:r>
          </w:p>
        </w:tc>
        <w:tc>
          <w:tcPr/>
          <w:p>
            <w:pPr>
              <w:pStyle w:val="Compact"/>
              <w:jc w:val="left"/>
            </w:pPr>
            <w:r>
              <w:t xml:space="preserve">+56 2 2345 6789</w:t>
            </w:r>
          </w:p>
        </w:tc>
      </w:tr>
      <w:tr>
        <w:tc>
          <w:tcPr/>
          <w:p>
            <w:pPr>
              <w:pStyle w:val="Compact"/>
              <w:jc w:val="left"/>
            </w:pPr>
            <w:r>
              <w:rPr>
                <w:bCs/>
                <w:b/>
              </w:rPr>
              <w:t xml:space="preserve">Email:</w:t>
            </w:r>
          </w:p>
        </w:tc>
        <w:tc>
          <w:tcPr/>
          <w:p>
            <w:pPr>
              <w:pStyle w:val="Compact"/>
              <w:jc w:val="left"/>
            </w:pPr>
            <w:r>
              <w:t xml:space="preserve">procurement@andescorp.cl</w:t>
            </w:r>
          </w:p>
        </w:tc>
        <w:tc>
          <w:tcPr/>
          <w:p>
            <w:pPr>
              <w:pStyle w:val="Compact"/>
              <w:jc w:val="left"/>
            </w:pPr>
            <w:r>
              <w:rPr>
                <w:bCs/>
                <w:b/>
              </w:rPr>
              <w:t xml:space="preserve">Payment Terms:</w:t>
            </w:r>
          </w:p>
        </w:tc>
        <w:tc>
          <w:tcPr/>
          <w:p>
            <w:pPr>
              <w:pStyle w:val="Compact"/>
              <w:jc w:val="left"/>
            </w:pPr>
            <w:r>
              <w:t xml:space="preserve">Net 30 days from invoice</w:t>
            </w:r>
          </w:p>
        </w:tc>
      </w:tr>
    </w:tbl>
    <w:p>
      <w:pPr>
        <w:pStyle w:val="BodyText"/>
      </w:pPr>
      <w:r>
        <w:t xml:space="preserve">1. Scope of Procurement – Human Resources Manager Services</w:t>
      </w:r>
    </w:p>
    <w:p>
      <w:pPr>
        <w:pStyle w:val="BodyText"/>
      </w:pPr>
      <w:r>
        <w:t xml:space="preserve">This</w:t>
      </w:r>
      <w:r>
        <w:t xml:space="preserve"> </w:t>
      </w:r>
      <w:r>
        <w:t xml:space="preserve">Purchase Order</w:t>
      </w:r>
      <w:r>
        <w:t xml:space="preserve"> </w:t>
      </w:r>
      <w:r>
        <w:t xml:space="preserve">is issued by Andes Corporate Solutions SpA to formally request and authorize the procurement of a</w:t>
      </w:r>
      <w:r>
        <w:t xml:space="preserve"> </w:t>
      </w:r>
      <w:r>
        <w:t xml:space="preserve">Human Resources Manager</w:t>
      </w:r>
      <w:r>
        <w:t xml:space="preserve"> </w:t>
      </w:r>
      <w:r>
        <w:t xml:space="preserve">professional service engagement. The selected</w:t>
      </w:r>
      <w:r>
        <w:t xml:space="preserve"> </w:t>
      </w:r>
      <w:r>
        <w:t xml:space="preserve">Human Resources Manager</w:t>
      </w:r>
      <w:r>
        <w:t xml:space="preserve"> </w:t>
      </w:r>
      <w:r>
        <w:t xml:space="preserve">shall be physically based and operate out of the Santiago, Chile metropolitan area, specifically within the Las Condes district. The scope of this engagement encompasses the full spectrum of human capital management functions, including but not limited to workforce planning, recruitment and selection, employee onboarding, performance management, labor compliance under Chilean labor law (Código del Trabajo, Decreto Ley 2.200), compensation and benefits administration, employee relations, training and development program design, and strategic organizational development.</w:t>
      </w:r>
    </w:p>
    <w:p>
      <w:pPr>
        <w:pStyle w:val="BodyText"/>
      </w:pPr>
      <w:r>
        <w:t xml:space="preserve">The</w:t>
      </w:r>
      <w:r>
        <w:t xml:space="preserve"> </w:t>
      </w:r>
      <w:r>
        <w:t xml:space="preserve">Human Resources Manager</w:t>
      </w:r>
      <w:r>
        <w:t xml:space="preserve"> </w:t>
      </w:r>
      <w:r>
        <w:t xml:space="preserve">engaged under this</w:t>
      </w:r>
      <w:r>
        <w:t xml:space="preserve"> </w:t>
      </w:r>
      <w:r>
        <w:t xml:space="preserve">Purchase Order</w:t>
      </w:r>
      <w:r>
        <w:t xml:space="preserve"> </w:t>
      </w:r>
      <w:r>
        <w:t xml:space="preserve">must possess a minimum of eight (8) years of progressive experience in human resources leadership within the Chilean corporate environment. The candidate must demonstrate thorough knowledge of the Chilean social security system (INAP, FONASA, ISL), collective bargaining agreements, and the regulatory framework governing employment in Santiago, Chile. Fluency in both Spanish and English is mandatory, given the multinational nature of the client's operations in the Chile Santiago business district.</w:t>
      </w:r>
    </w:p>
    <w:p>
      <w:pPr>
        <w:pStyle w:val="BodyText"/>
      </w:pPr>
      <w:r>
        <w:t xml:space="preserve">2. Line Items and Financial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Price (CLP)</w:t>
            </w:r>
          </w:p>
        </w:tc>
        <w:tc>
          <w:tcPr/>
          <w:p>
            <w:pPr>
              <w:pStyle w:val="Compact"/>
              <w:jc w:val="left"/>
            </w:pPr>
            <w:r>
              <w:t xml:space="preserve">Total (CLP)</w:t>
            </w:r>
          </w:p>
        </w:tc>
      </w:tr>
      <w:tr>
        <w:tc>
          <w:tcPr/>
          <w:p>
            <w:pPr>
              <w:pStyle w:val="Compact"/>
              <w:jc w:val="left"/>
            </w:pPr>
            <w:r>
              <w:t xml:space="preserve">01</w:t>
            </w:r>
          </w:p>
        </w:tc>
        <w:tc>
          <w:tcPr/>
          <w:p>
            <w:pPr>
              <w:pStyle w:val="Compact"/>
              <w:jc w:val="left"/>
            </w:pPr>
            <w:r>
              <w:t xml:space="preserve">Human Resources Manager – Monthly Professional Fee (12-month contract, Santiago, Chile)</w:t>
            </w:r>
          </w:p>
        </w:tc>
        <w:tc>
          <w:tcPr/>
          <w:p>
            <w:pPr>
              <w:pStyle w:val="Compact"/>
              <w:jc w:val="left"/>
            </w:pPr>
            <w:r>
              <w:t xml:space="preserve">12 months</w:t>
            </w:r>
          </w:p>
        </w:tc>
        <w:tc>
          <w:tcPr/>
          <w:p>
            <w:pPr>
              <w:pStyle w:val="Compact"/>
              <w:jc w:val="left"/>
            </w:pPr>
            <w:r>
              <w:t xml:space="preserve">1,850,000</w:t>
            </w:r>
          </w:p>
        </w:tc>
        <w:tc>
          <w:tcPr/>
          <w:p>
            <w:pPr>
              <w:pStyle w:val="Compact"/>
              <w:jc w:val="left"/>
            </w:pPr>
            <w:r>
              <w:t xml:space="preserve">22,200,000</w:t>
            </w:r>
          </w:p>
        </w:tc>
      </w:tr>
      <w:tr>
        <w:tc>
          <w:tcPr/>
          <w:p>
            <w:pPr>
              <w:pStyle w:val="Compact"/>
              <w:jc w:val="left"/>
            </w:pPr>
            <w:r>
              <w:t xml:space="preserve">02</w:t>
            </w:r>
          </w:p>
        </w:tc>
        <w:tc>
          <w:tcPr/>
          <w:p>
            <w:pPr>
              <w:pStyle w:val="Compact"/>
              <w:jc w:val="left"/>
            </w:pPr>
            <w:r>
              <w:t xml:space="preserve">Initial Organizational Audit and HR Compliance Review – Chile Santiago</w:t>
            </w:r>
          </w:p>
        </w:tc>
        <w:tc>
          <w:tcPr/>
          <w:p>
            <w:pPr>
              <w:pStyle w:val="Compact"/>
              <w:jc w:val="left"/>
            </w:pPr>
            <w:r>
              <w:t xml:space="preserve">1</w:t>
            </w:r>
          </w:p>
        </w:tc>
        <w:tc>
          <w:tcPr/>
          <w:p>
            <w:pPr>
              <w:pStyle w:val="Compact"/>
              <w:jc w:val="left"/>
            </w:pPr>
            <w:r>
              <w:t xml:space="preserve">1,200,000</w:t>
            </w:r>
          </w:p>
        </w:tc>
        <w:tc>
          <w:tcPr/>
          <w:p>
            <w:pPr>
              <w:pStyle w:val="Compact"/>
              <w:jc w:val="left"/>
            </w:pPr>
            <w:r>
              <w:t xml:space="preserve">1,200,000</w:t>
            </w:r>
          </w:p>
        </w:tc>
      </w:tr>
      <w:tr>
        <w:tc>
          <w:tcPr/>
          <w:p>
            <w:pPr>
              <w:pStyle w:val="Compact"/>
              <w:jc w:val="left"/>
            </w:pPr>
            <w:r>
              <w:t xml:space="preserve">03</w:t>
            </w:r>
          </w:p>
        </w:tc>
        <w:tc>
          <w:tcPr/>
          <w:p>
            <w:pPr>
              <w:pStyle w:val="Compact"/>
              <w:jc w:val="left"/>
            </w:pPr>
            <w:r>
              <w:t xml:space="preserve">Recruitment and Selection Process Management (up to 15 positions)</w:t>
            </w:r>
          </w:p>
        </w:tc>
        <w:tc>
          <w:tcPr/>
          <w:p>
            <w:pPr>
              <w:pStyle w:val="Compact"/>
              <w:jc w:val="left"/>
            </w:pPr>
            <w:r>
              <w:t xml:space="preserve">15</w:t>
            </w:r>
          </w:p>
        </w:tc>
        <w:tc>
          <w:tcPr/>
          <w:p>
            <w:pPr>
              <w:pStyle w:val="Compact"/>
              <w:jc w:val="left"/>
            </w:pPr>
            <w:r>
              <w:t xml:space="preserve">350,000</w:t>
            </w:r>
          </w:p>
        </w:tc>
        <w:tc>
          <w:tcPr/>
          <w:p>
            <w:pPr>
              <w:pStyle w:val="Compact"/>
              <w:jc w:val="left"/>
            </w:pPr>
            <w:r>
              <w:t xml:space="preserve">5,250,000</w:t>
            </w:r>
          </w:p>
        </w:tc>
      </w:tr>
      <w:tr>
        <w:tc>
          <w:tcPr/>
          <w:p>
            <w:pPr>
              <w:pStyle w:val="Compact"/>
              <w:jc w:val="left"/>
            </w:pPr>
            <w:r>
              <w:t xml:space="preserve">04</w:t>
            </w:r>
          </w:p>
        </w:tc>
        <w:tc>
          <w:tcPr/>
          <w:p>
            <w:pPr>
              <w:pStyle w:val="Compact"/>
              <w:jc w:val="left"/>
            </w:pPr>
            <w:r>
              <w:t xml:space="preserve">Employee Training and Development Program Design and Implementation</w:t>
            </w:r>
          </w:p>
        </w:tc>
        <w:tc>
          <w:tcPr/>
          <w:p>
            <w:pPr>
              <w:pStyle w:val="Compact"/>
              <w:jc w:val="left"/>
            </w:pPr>
            <w:r>
              <w:t xml:space="preserve">1</w:t>
            </w:r>
          </w:p>
        </w:tc>
        <w:tc>
          <w:tcPr/>
          <w:p>
            <w:pPr>
              <w:pStyle w:val="Compact"/>
              <w:jc w:val="left"/>
            </w:pPr>
            <w:r>
              <w:t xml:space="preserve">2,400,000</w:t>
            </w:r>
          </w:p>
        </w:tc>
        <w:tc>
          <w:tcPr/>
          <w:p>
            <w:pPr>
              <w:pStyle w:val="Compact"/>
              <w:jc w:val="left"/>
            </w:pPr>
            <w:r>
              <w:t xml:space="preserve">2,400,000</w:t>
            </w:r>
          </w:p>
        </w:tc>
      </w:tr>
      <w:tr>
        <w:tc>
          <w:tcPr/>
          <w:p>
            <w:pPr>
              <w:pStyle w:val="Compact"/>
              <w:jc w:val="left"/>
            </w:pPr>
            <w:r>
              <w:t xml:space="preserve">05</w:t>
            </w:r>
          </w:p>
        </w:tc>
        <w:tc>
          <w:tcPr/>
          <w:p>
            <w:pPr>
              <w:pStyle w:val="Compact"/>
              <w:jc w:val="left"/>
            </w:pPr>
            <w:r>
              <w:t xml:space="preserve">Monthly HR Reporting and Compliance Documentation (Santiago, Chile)</w:t>
            </w:r>
          </w:p>
        </w:tc>
        <w:tc>
          <w:tcPr/>
          <w:p>
            <w:pPr>
              <w:pStyle w:val="Compact"/>
              <w:jc w:val="left"/>
            </w:pPr>
            <w:r>
              <w:t xml:space="preserve">12 months</w:t>
            </w:r>
          </w:p>
        </w:tc>
        <w:tc>
          <w:tcPr/>
          <w:p>
            <w:pPr>
              <w:pStyle w:val="Compact"/>
              <w:jc w:val="left"/>
            </w:pPr>
            <w:r>
              <w:t xml:space="preserve">180,000</w:t>
            </w:r>
          </w:p>
        </w:tc>
        <w:tc>
          <w:tcPr/>
          <w:p>
            <w:pPr>
              <w:pStyle w:val="Compact"/>
              <w:jc w:val="left"/>
            </w:pPr>
            <w:r>
              <w:t xml:space="preserve">2,160,000</w:t>
            </w:r>
          </w:p>
        </w:tc>
      </w:tr>
      <w:tr>
        <w:tc>
          <w:tcPr/>
          <w:p>
            <w:pPr>
              <w:pStyle w:val="Compact"/>
              <w:jc w:val="left"/>
            </w:pPr>
            <w:r>
              <w:t xml:space="preserve">06</w:t>
            </w:r>
          </w:p>
        </w:tc>
        <w:tc>
          <w:tcPr/>
          <w:p>
            <w:pPr>
              <w:pStyle w:val="Compact"/>
              <w:jc w:val="left"/>
            </w:pPr>
            <w:r>
              <w:t xml:space="preserve">Employee Relations and Conflict Resolution Support</w:t>
            </w:r>
          </w:p>
        </w:tc>
        <w:tc>
          <w:tcPr/>
          <w:p>
            <w:pPr>
              <w:pStyle w:val="Compact"/>
              <w:jc w:val="left"/>
            </w:pPr>
            <w:r>
              <w:t xml:space="preserve">1</w:t>
            </w:r>
          </w:p>
        </w:tc>
        <w:tc>
          <w:tcPr/>
          <w:p>
            <w:pPr>
              <w:pStyle w:val="Compact"/>
              <w:jc w:val="left"/>
            </w:pPr>
            <w:r>
              <w:t xml:space="preserve">950,000</w:t>
            </w:r>
          </w:p>
        </w:tc>
        <w:tc>
          <w:tcPr/>
          <w:p>
            <w:pPr>
              <w:pStyle w:val="Compact"/>
              <w:jc w:val="left"/>
            </w:pPr>
            <w:r>
              <w:t xml:space="preserve">950,000</w:t>
            </w:r>
          </w:p>
        </w:tc>
      </w:tr>
      <w:tr>
        <w:tc>
          <w:tcPr>
            <w:gridSpan w:val="4"/>
          </w:tcPr>
          <w:p>
            <w:pPr>
              <w:pStyle w:val="Compact"/>
              <w:jc w:val="right"/>
            </w:pPr>
            <w:r>
              <w:t xml:space="preserve">Subtotal (CLP):</w:t>
            </w:r>
          </w:p>
        </w:tc>
        <w:tc>
          <w:tcPr/>
          <w:p>
            <w:pPr>
              <w:pStyle w:val="Compact"/>
              <w:jc w:val="left"/>
            </w:pPr>
            <w:r>
              <w:t xml:space="preserve">34,160,000</w:t>
            </w:r>
          </w:p>
        </w:tc>
      </w:tr>
      <w:tr>
        <w:tc>
          <w:tcPr>
            <w:gridSpan w:val="4"/>
          </w:tcPr>
          <w:p>
            <w:pPr>
              <w:pStyle w:val="Compact"/>
              <w:jc w:val="right"/>
            </w:pPr>
            <w:r>
              <w:t xml:space="preserve">IVA (19% – Chilean Value Added Tax):</w:t>
            </w:r>
          </w:p>
        </w:tc>
        <w:tc>
          <w:tcPr/>
          <w:p>
            <w:pPr>
              <w:pStyle w:val="Compact"/>
              <w:jc w:val="left"/>
            </w:pPr>
            <w:r>
              <w:t xml:space="preserve">6,490,400</w:t>
            </w:r>
          </w:p>
        </w:tc>
      </w:tr>
      <w:tr>
        <w:tc>
          <w:tcPr>
            <w:gridSpan w:val="4"/>
          </w:tcPr>
          <w:p>
            <w:pPr>
              <w:pStyle w:val="Compact"/>
              <w:jc w:val="right"/>
            </w:pPr>
            <w:r>
              <w:t xml:space="preserve">TOTAL AMOUNT DUE (CLP):</w:t>
            </w:r>
          </w:p>
        </w:tc>
        <w:tc>
          <w:tcPr/>
          <w:p>
            <w:pPr>
              <w:pStyle w:val="Compact"/>
              <w:jc w:val="left"/>
            </w:pPr>
            <w:r>
              <w:t xml:space="preserve">40,650,400</w:t>
            </w:r>
          </w:p>
        </w:tc>
      </w:tr>
    </w:tbl>
    <w:p>
      <w:pPr>
        <w:pStyle w:val="BodyText"/>
      </w:pPr>
      <w:r>
        <w:t xml:space="preserve">3. Terms and Conditions</w:t>
      </w:r>
    </w:p>
    <w:p>
      <w:pPr>
        <w:pStyle w:val="BodyText"/>
      </w:pPr>
      <w:r>
        <w:rPr>
          <w:bCs/>
          <w:b/>
        </w:rPr>
        <w:t xml:space="preserve">3.1</w:t>
      </w:r>
      <w:r>
        <w:t xml:space="preserve"> </w:t>
      </w:r>
      <w:r>
        <w:t xml:space="preserve">– This</w:t>
      </w:r>
      <w:r>
        <w:t xml:space="preserve"> </w:t>
      </w:r>
      <w:r>
        <w:t xml:space="preserve">Purchase Order</w:t>
      </w:r>
      <w:r>
        <w:t xml:space="preserve"> </w:t>
      </w:r>
      <w:r>
        <w:t xml:space="preserve">constitutes a binding agreement between Andes Corporate Solutions SpA and Talento Humano del Pacífico Ltda. upon signature by both authorized representatives. All services shall be rendered in Santiago, Chile, and shall comply with all applicable Chilean labor and commercial regulations.</w:t>
      </w:r>
    </w:p>
    <w:p>
      <w:pPr>
        <w:pStyle w:val="BodyText"/>
      </w:pPr>
      <w:r>
        <w:rPr>
          <w:bCs/>
          <w:b/>
        </w:rPr>
        <w:t xml:space="preserve">3.2</w:t>
      </w:r>
      <w:r>
        <w:t xml:space="preserve"> </w:t>
      </w:r>
      <w:r>
        <w:t xml:space="preserve">– The</w:t>
      </w:r>
      <w:r>
        <w:t xml:space="preserve"> </w:t>
      </w:r>
      <w:r>
        <w:t xml:space="preserve">Human Resources Manager</w:t>
      </w:r>
      <w:r>
        <w:t xml:space="preserve"> </w:t>
      </w:r>
      <w:r>
        <w:t xml:space="preserve">assigned to this engagement shall report directly to the General Director of Andes Corporate Solutions SpA. The</w:t>
      </w:r>
      <w:r>
        <w:t xml:space="preserve"> </w:t>
      </w:r>
      <w:r>
        <w:t xml:space="preserve">Human Resources Manager</w:t>
      </w:r>
      <w:r>
        <w:t xml:space="preserve"> </w:t>
      </w:r>
      <w:r>
        <w:t xml:space="preserve">shall maintain a minimum of four (4) full working days per week on-site at the Santiago, Chile headquarters located in Las Condes.</w:t>
      </w:r>
    </w:p>
    <w:p>
      <w:pPr>
        <w:pStyle w:val="BodyText"/>
      </w:pPr>
      <w:r>
        <w:rPr>
          <w:bCs/>
          <w:b/>
        </w:rPr>
        <w:t xml:space="preserve">3.3</w:t>
      </w:r>
      <w:r>
        <w:t xml:space="preserve"> </w:t>
      </w:r>
      <w:r>
        <w:t xml:space="preserve">– Payment shall be processed via electronic bank transfer (transferencia electrónica) to the supplier's account in Chile. Invoices must be issued in accordance with Chilean tax regulations (SII – Servicio de Impuestos Internos) and must include the RUT of both parties. Payment terms are Net 30 days from the date of invoice receipt.</w:t>
      </w:r>
    </w:p>
    <w:p>
      <w:pPr>
        <w:pStyle w:val="BodyText"/>
      </w:pPr>
      <w:r>
        <w:rPr>
          <w:bCs/>
          <w:b/>
        </w:rPr>
        <w:t xml:space="preserve">3.4</w:t>
      </w:r>
      <w:r>
        <w:t xml:space="preserve"> </w:t>
      </w:r>
      <w:r>
        <w:t xml:space="preserve">– The supplier guarantees that the</w:t>
      </w:r>
      <w:r>
        <w:t xml:space="preserve"> </w:t>
      </w:r>
      <w:r>
        <w:t xml:space="preserve">Human Resources Manager</w:t>
      </w:r>
      <w:r>
        <w:t xml:space="preserve"> </w:t>
      </w:r>
      <w:r>
        <w:t xml:space="preserve">shall not be subject to any conflict of interest and shall maintain strict confidentiality regarding all employee data, compensation structures, and proprietary business information in accordance with Chile's Personal Data Protection Law (Ley 19.628).</w:t>
      </w:r>
    </w:p>
    <w:p>
      <w:pPr>
        <w:pStyle w:val="BodyText"/>
      </w:pPr>
      <w:r>
        <w:rPr>
          <w:bCs/>
          <w:b/>
        </w:rPr>
        <w:t xml:space="preserve">3.5</w:t>
      </w:r>
      <w:r>
        <w:t xml:space="preserve"> </w:t>
      </w:r>
      <w:r>
        <w:t xml:space="preserve">– Either party may terminate this</w:t>
      </w:r>
      <w:r>
        <w:t xml:space="preserve"> </w:t>
      </w:r>
      <w:r>
        <w:t xml:space="preserve">Purchase Order</w:t>
      </w:r>
      <w:r>
        <w:t xml:space="preserve"> </w:t>
      </w:r>
      <w:r>
        <w:t xml:space="preserve">with thirty (30) days' written notice. In the event of early termination, the supplier shall be compensated for all services rendered up to the termination date, plus a transition fee equivalent to one month's professional fee.</w:t>
      </w:r>
    </w:p>
    <w:p>
      <w:pPr>
        <w:pStyle w:val="BodyText"/>
      </w:pPr>
      <w:r>
        <w:rPr>
          <w:bCs/>
          <w:b/>
        </w:rPr>
        <w:t xml:space="preserve">3.6</w:t>
      </w:r>
      <w:r>
        <w:t xml:space="preserve"> </w:t>
      </w:r>
      <w:r>
        <w:t xml:space="preserve">– All disputes arising from this</w:t>
      </w:r>
      <w:r>
        <w:t xml:space="preserve"> </w:t>
      </w:r>
      <w:r>
        <w:t xml:space="preserve">Purchase Order</w:t>
      </w:r>
      <w:r>
        <w:t xml:space="preserve"> </w:t>
      </w:r>
      <w:r>
        <w:t xml:space="preserve">shall be resolved through the competent courts of Santiago, Chile, or through arbitration in accordance with the rules of the Centro de Arbitraje y Mediación de la Cámara de Comercio de Santiago (CCS).</w:t>
      </w:r>
    </w:p>
    <w:p>
      <w:pPr>
        <w:pStyle w:val="BodyText"/>
      </w:pPr>
      <w:r>
        <w:rPr>
          <w:bCs/>
          <w:b/>
        </w:rPr>
        <w:t xml:space="preserve">3.7</w:t>
      </w:r>
      <w:r>
        <w:t xml:space="preserve"> </w:t>
      </w:r>
      <w:r>
        <w:t xml:space="preserve">– The</w:t>
      </w:r>
      <w:r>
        <w:t xml:space="preserve"> </w:t>
      </w:r>
      <w:r>
        <w:t xml:space="preserve">Human Resources Manager</w:t>
      </w:r>
      <w:r>
        <w:t xml:space="preserve"> </w:t>
      </w:r>
      <w:r>
        <w:t xml:space="preserve">shall submit a comprehensive monthly report detailing all activities performed, metrics achieved, and recommendations for the following period. Reports shall be delivered in both Spanish and English to accommodate the multinational stakeholder base in Chile Santiago.</w:t>
      </w:r>
    </w:p>
    <w:p>
      <w:pPr>
        <w:pStyle w:val="BodyText"/>
      </w:pPr>
      <w:r>
        <w:t xml:space="preserve">4. Acceptance and Authorization</w:t>
      </w:r>
    </w:p>
    <w:p>
      <w:pPr>
        <w:pStyle w:val="BodyText"/>
      </w:pPr>
      <w:r>
        <w:t xml:space="preserve">By signing below, both parties acknowledge and accept all terms, conditions, and financial obligations outlined in this</w:t>
      </w:r>
      <w:r>
        <w:t xml:space="preserve"> </w:t>
      </w:r>
      <w:r>
        <w:t xml:space="preserve">Purchase Order</w:t>
      </w:r>
      <w:r>
        <w:t xml:space="preserve"> </w:t>
      </w:r>
      <w:r>
        <w:t xml:space="preserve">for the engagement of a</w:t>
      </w:r>
      <w:r>
        <w:t xml:space="preserve"> </w:t>
      </w:r>
      <w:r>
        <w:t xml:space="preserve">Human Resources Manager</w:t>
      </w:r>
      <w:r>
        <w:t xml:space="preserve"> </w:t>
      </w:r>
      <w:r>
        <w:t xml:space="preserve">in Santiago, Chile. This document is valid for a period of one hundred twenty (120) days from the date of issue, after which a new</w:t>
      </w:r>
      <w:r>
        <w:t xml:space="preserve"> </w:t>
      </w:r>
      <w:r>
        <w:t xml:space="preserve">Purchase Order</w:t>
      </w:r>
      <w:r>
        <w:t xml:space="preserve"> </w:t>
      </w:r>
      <w:r>
        <w:t xml:space="preserve">must be generated for any continuation of services.</w:t>
      </w:r>
    </w:p>
    <w:p>
      <w:pPr>
        <w:pStyle w:val="BodyText"/>
      </w:pPr>
      <w:r>
        <w:rPr>
          <w:bCs/>
          <w:b/>
        </w:rPr>
        <w:t xml:space="preserve">For Andes Corporate Solutions SpA (Buyer)</w:t>
      </w:r>
      <w:r>
        <w:br/>
      </w:r>
      <w:r>
        <w:t xml:space="preserve">Name: María Fernanda Rojas</w:t>
      </w:r>
      <w:r>
        <w:br/>
      </w:r>
      <w:r>
        <w:t xml:space="preserve">Title: Procurement Director</w:t>
      </w:r>
      <w:r>
        <w:br/>
      </w:r>
      <w:r>
        <w:t xml:space="preserve">Date: _______________</w:t>
      </w:r>
    </w:p>
    <w:p>
      <w:pPr>
        <w:pStyle w:val="BodyText"/>
      </w:pPr>
      <w:r>
        <w:rPr>
          <w:bCs/>
          <w:b/>
        </w:rPr>
        <w:t xml:space="preserve">For Talento Humano del Pacífico Ltda. (Supplier)</w:t>
      </w:r>
      <w:r>
        <w:br/>
      </w:r>
      <w:r>
        <w:t xml:space="preserve">Name: Carlos Andrés Villanueva</w:t>
      </w:r>
      <w:r>
        <w:br/>
      </w:r>
      <w:r>
        <w:t xml:space="preserve">Title: General Manager</w:t>
      </w:r>
      <w:r>
        <w:br/>
      </w:r>
      <w:r>
        <w:t xml:space="preserve">Date: _______________</w:t>
      </w:r>
    </w:p>
    <w:p>
      <w:pPr>
        <w:pStyle w:val="BodyText"/>
      </w:pPr>
      <w:r>
        <w:t xml:space="preserve">This Purchase Order (PO-CHL-2025-04871) was issued in Santiago, Chile. All references to Chile Santiago pertain to the metropolitan area of Santiago de Chile, the capital of the Republic of Chile. This document is governed by Chilean law. For inquiries, contact the Procurement Department at procurement@andescorp.cl or +56 2 2345 6789.</w:t>
      </w:r>
    </w:p>
    <w:p>
      <w:pPr>
        <w:pStyle w:val="BodyText"/>
      </w:pPr>
      <w:r>
        <w:t xml:space="preserve">Document generated on 15 June 2025 | Version 1.0 | Confidential – Internal Use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Human Resources Manager - Chile Santiago</dc:title>
  <dc:creator/>
  <dc:language>en</dc:language>
  <cp:keywords/>
  <dcterms:created xsi:type="dcterms:W3CDTF">2026-10-10T06:48:42Z</dcterms:created>
  <dcterms:modified xsi:type="dcterms:W3CDTF">2026-10-10T06:48:42Z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