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Meridian Corporate Solutions A.Ş.</w:t>
      </w:r>
    </w:p>
    <w:p>
      <w:pPr>
        <w:pStyle w:val="BodyText"/>
      </w:pPr>
      <w:r>
        <w:t xml:space="preserve">19 Mayıs Street No. 42, Kızılay, Çankaya, 06420 Ankara, Turkey</w:t>
      </w:r>
    </w:p>
    <w:p>
      <w:pPr>
        <w:pStyle w:val="BodyText"/>
      </w:pPr>
      <w:r>
        <w:t xml:space="preserve">Tax ID (VKN): 1234567890 | Phone: +90 312 445 6789 | Email: procurement@meridiancorp.com.tr</w:t>
      </w:r>
    </w:p>
    <w:p>
      <w:pPr>
        <w:pStyle w:val="BodyText"/>
      </w:pPr>
      <w:r>
        <w:t xml:space="preserve">PO No: MCR-2025-0472</w:t>
      </w:r>
    </w:p>
    <w:p>
      <w:pPr>
        <w:pStyle w:val="BodyText"/>
      </w:pPr>
      <w:r>
        <w:t xml:space="preserve">Date of Issue: 15 June 2025</w:t>
      </w:r>
    </w:p>
    <w:p>
      <w:pPr>
        <w:pStyle w:val="BodyText"/>
      </w:pPr>
      <w:r>
        <w:t xml:space="preserve">Valid Until: 15 July 2025</w:t>
      </w:r>
    </w:p>
    <w:bookmarkEnd w:id="20"/>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Profesyonel İK Danışmanlık A.Ş. (Professional HR Consulting Inc.)</w:t>
            </w:r>
          </w:p>
        </w:tc>
      </w:tr>
      <w:tr>
        <w:tc>
          <w:tcPr/>
          <w:p>
            <w:pPr>
              <w:pStyle w:val="Compact"/>
              <w:jc w:val="left"/>
            </w:pPr>
            <w:r>
              <w:t xml:space="preserve">Address</w:t>
            </w:r>
          </w:p>
        </w:tc>
        <w:tc>
          <w:tcPr/>
          <w:p>
            <w:pPr>
              <w:pStyle w:val="Compact"/>
              <w:jc w:val="left"/>
            </w:pPr>
            <w:r>
              <w:t xml:space="preserve">Atatürk Bulvarı No. 118, Ulus, Çankaya, 06240 Ankara, Turkey</w:t>
            </w:r>
          </w:p>
        </w:tc>
      </w:tr>
      <w:tr>
        <w:tc>
          <w:tcPr/>
          <w:p>
            <w:pPr>
              <w:pStyle w:val="Compact"/>
              <w:jc w:val="left"/>
            </w:pPr>
            <w:r>
              <w:t xml:space="preserve">Tax ID (VKN)</w:t>
            </w:r>
          </w:p>
        </w:tc>
        <w:tc>
          <w:tcPr/>
          <w:p>
            <w:pPr>
              <w:pStyle w:val="Compact"/>
              <w:jc w:val="left"/>
            </w:pPr>
            <w:r>
              <w:t xml:space="preserve">9876543210</w:t>
            </w:r>
          </w:p>
        </w:tc>
      </w:tr>
      <w:tr>
        <w:tc>
          <w:tcPr/>
          <w:p>
            <w:pPr>
              <w:pStyle w:val="Compact"/>
              <w:jc w:val="left"/>
            </w:pPr>
            <w:r>
              <w:t xml:space="preserve">Contact Person</w:t>
            </w:r>
          </w:p>
        </w:tc>
        <w:tc>
          <w:tcPr/>
          <w:p>
            <w:pPr>
              <w:pStyle w:val="Compact"/>
              <w:jc w:val="left"/>
            </w:pPr>
            <w:r>
              <w:t xml:space="preserve">Ms. Elif Kaya – Senior Placement Director</w:t>
            </w:r>
          </w:p>
        </w:tc>
      </w:tr>
      <w:tr>
        <w:tc>
          <w:tcPr/>
          <w:p>
            <w:pPr>
              <w:pStyle w:val="Compact"/>
              <w:jc w:val="left"/>
            </w:pPr>
            <w:r>
              <w:t xml:space="preserve">Email / Phone</w:t>
            </w:r>
          </w:p>
        </w:tc>
        <w:tc>
          <w:tcPr/>
          <w:p>
            <w:pPr>
              <w:pStyle w:val="Compact"/>
              <w:jc w:val="left"/>
            </w:pPr>
            <w:r>
              <w:t xml:space="preserve">ekaya@profesyonelik.com.tr / +90 312 556 7890</w:t>
            </w:r>
          </w:p>
        </w:tc>
      </w:tr>
      <w:tr>
        <w:tc>
          <w:tcPr/>
          <w:p>
            <w:pPr>
              <w:pStyle w:val="Compact"/>
              <w:jc w:val="left"/>
            </w:pPr>
            <w:r>
              <w:t xml:space="preserve">Bank / IBAN</w:t>
            </w:r>
          </w:p>
        </w:tc>
        <w:tc>
          <w:tcPr/>
          <w:p>
            <w:pPr>
              <w:pStyle w:val="Compact"/>
              <w:jc w:val="left"/>
            </w:pPr>
            <w:r>
              <w:t xml:space="preserve">Ziraat Bankası A.Ş. – TR33 0001 0002 3456 7890 1234 56</w:t>
            </w:r>
          </w:p>
        </w:tc>
      </w:tr>
    </w:tbl>
    <w:bookmarkEnd w:id="21"/>
    <w:bookmarkStart w:id="22" w:name="Xc0467b6031fa7407c95c21ad86aeb9c430a06af"/>
    <w:p>
      <w:pPr>
        <w:pStyle w:val="Heading2"/>
      </w:pPr>
      <w:r>
        <w:t xml:space="preserve">2. Purchase Order Description – Human Resources Manager Position</w:t>
      </w:r>
    </w:p>
    <w:p>
      <w:pPr>
        <w:pStyle w:val="FirstParagraph"/>
      </w:pPr>
      <w:r>
        <w:t xml:space="preserve">This</w:t>
      </w:r>
      <w:r>
        <w:t xml:space="preserve"> </w:t>
      </w:r>
      <w:r>
        <w:t xml:space="preserve">Purchase Order</w:t>
      </w:r>
      <w:r>
        <w:t xml:space="preserve"> </w:t>
      </w:r>
      <w:r>
        <w:t xml:space="preserve">is issued by Meridian Corporate Solutions A.Ş. to procure the professional services of a qualified</w:t>
      </w:r>
      <w:r>
        <w:t xml:space="preserve"> </w:t>
      </w:r>
      <w:r>
        <w:t xml:space="preserve">Human Resources Manager</w:t>
      </w:r>
      <w:r>
        <w:t xml:space="preserve"> </w:t>
      </w:r>
      <w:r>
        <w:t xml:space="preserve">for permanent placement within our headquarters located in</w:t>
      </w:r>
      <w:r>
        <w:t xml:space="preserve"> </w:t>
      </w:r>
      <w:r>
        <w:t xml:space="preserve">Turkey Ankara</w:t>
      </w:r>
      <w:r>
        <w:t xml:space="preserve">. The engagement is governed by the Turkish Labor Law No. 4857 and all applicable regulations of the Republic of Turkey. The</w:t>
      </w:r>
      <w:r>
        <w:t xml:space="preserve"> </w:t>
      </w:r>
      <w:r>
        <w:t xml:space="preserve">Human Resources Manager</w:t>
      </w:r>
      <w:r>
        <w:t xml:space="preserve"> </w:t>
      </w:r>
      <w:r>
        <w:t xml:space="preserve">shall be responsible for the full spectrum of human capital management functions, including but not limited to recruitment, onboarding, employee relations, performance management, compensation and benefits administration, labor compliance, and strategic workforce planning for all Ankara-based operations.</w:t>
      </w:r>
    </w:p>
    <w:bookmarkEnd w:id="22"/>
    <w:bookmarkStart w:id="23" w:name="itemized-procurement-details"/>
    <w:p>
      <w:pPr>
        <w:pStyle w:val="Heading2"/>
      </w:pPr>
      <w:r>
        <w:t xml:space="preserve">3. Itemized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Recruitment and placement fee for Senior Human Resources Manager (Ankara, Turkey) – includes candidate sourcing, screening, interview coordination, and final placement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Onboarding and integration package for the Human Resources Manager – orientation, system access provisioning, Ankara office setup, and 90-day performance monitoring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Annual HR compliance audit and labor law advisory services specific to Turkey Ankara jurisdiction (first year)</w:t>
            </w:r>
          </w:p>
        </w:tc>
        <w:tc>
          <w:tcPr/>
          <w:p>
            <w:pPr>
              <w:pStyle w:val="Compact"/>
              <w:jc w:val="left"/>
            </w:pPr>
            <w:r>
              <w:t xml:space="preserve">1</w:t>
            </w:r>
          </w:p>
        </w:tc>
        <w:tc>
          <w:tcPr/>
          <w:p>
            <w:pPr>
              <w:pStyle w:val="Compact"/>
              <w:jc w:val="left"/>
            </w:pPr>
            <w:r>
              <w:t xml:space="preserve">Year</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Professional development and certification support for the Human Resources Manager (SHRM / Turkish HR Institute membership)</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Contingency and replacement guarantee (12-month guarantee period for the Human Resources Manager placement)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35,000.00</w:t>
            </w:r>
          </w:p>
        </w:tc>
        <w:tc>
          <w:tcPr/>
          <w:p>
            <w:pPr>
              <w:pStyle w:val="Compact"/>
              <w:jc w:val="left"/>
            </w:pPr>
            <w:r>
              <w:t xml:space="preserve">35,000.00</w:t>
            </w:r>
          </w:p>
        </w:tc>
      </w:tr>
      <w:tr>
        <w:tc>
          <w:tcPr>
            <w:gridSpan w:val="2"/>
          </w:tcPr>
          <w:p>
            <w:pPr>
              <w:pStyle w:val="Compact"/>
              <w:jc w:val="right"/>
            </w:pPr>
            <w:r>
              <w:t xml:space="preserve">Subtotal</w:t>
            </w:r>
          </w:p>
        </w:tc>
        <w:tc>
          <w:tcPr/>
          <w:p>
            <w:pPr>
              <w:pStyle w:val="Compact"/>
              <w:jc w:val="left"/>
            </w:pPr>
            <w:r>
              <w:t xml:space="preserve">355,500.00</w:t>
            </w:r>
          </w:p>
        </w:tc>
        <w:tc>
          <w:tcPr/>
          <w:p>
            <w:pPr>
              <w:pStyle w:val="Compact"/>
            </w:pPr>
          </w:p>
        </w:tc>
        <w:tc>
          <w:tcPr/>
          <w:p>
            <w:pPr>
              <w:pStyle w:val="Compact"/>
            </w:pPr>
          </w:p>
        </w:tc>
        <w:tc>
          <w:tcPr/>
          <w:p>
            <w:pPr>
              <w:pStyle w:val="Compact"/>
            </w:pPr>
          </w:p>
        </w:tc>
      </w:tr>
      <w:tr>
        <w:tc>
          <w:tcPr>
            <w:gridSpan w:val="2"/>
          </w:tcPr>
          <w:p>
            <w:pPr>
              <w:pStyle w:val="Compact"/>
              <w:jc w:val="right"/>
            </w:pPr>
            <w:r>
              <w:t xml:space="preserve">VAT (KDV) – 20%</w:t>
            </w:r>
          </w:p>
        </w:tc>
        <w:tc>
          <w:tcPr/>
          <w:p>
            <w:pPr>
              <w:pStyle w:val="Compact"/>
              <w:jc w:val="left"/>
            </w:pPr>
            <w:r>
              <w:t xml:space="preserve">71,100.00</w:t>
            </w:r>
          </w:p>
        </w:tc>
        <w:tc>
          <w:tcPr/>
          <w:p>
            <w:pPr>
              <w:pStyle w:val="Compact"/>
            </w:pPr>
          </w:p>
        </w:tc>
        <w:tc>
          <w:tcPr/>
          <w:p>
            <w:pPr>
              <w:pStyle w:val="Compact"/>
            </w:pPr>
          </w:p>
        </w:tc>
        <w:tc>
          <w:tcPr/>
          <w:p>
            <w:pPr>
              <w:pStyle w:val="Compact"/>
            </w:pPr>
          </w:p>
        </w:tc>
      </w:tr>
      <w:tr>
        <w:tc>
          <w:tcPr>
            <w:gridSpan w:val="2"/>
          </w:tcPr>
          <w:p>
            <w:pPr>
              <w:pStyle w:val="Compact"/>
              <w:jc w:val="right"/>
            </w:pPr>
            <w:r>
              <w:t xml:space="preserve">TOTAL AMOUNT DUE (TRY)</w:t>
            </w:r>
          </w:p>
        </w:tc>
        <w:tc>
          <w:tcPr/>
          <w:p>
            <w:pPr>
              <w:pStyle w:val="Compact"/>
              <w:jc w:val="left"/>
            </w:pPr>
            <w:r>
              <w:t xml:space="preserve">426,600.00</w:t>
            </w:r>
          </w:p>
        </w:tc>
        <w:tc>
          <w:tcPr/>
          <w:p>
            <w:pPr>
              <w:pStyle w:val="Compact"/>
            </w:pPr>
          </w:p>
        </w:tc>
        <w:tc>
          <w:tcPr/>
          <w:p>
            <w:pPr>
              <w:pStyle w:val="Compact"/>
            </w:pPr>
          </w:p>
        </w:tc>
        <w:tc>
          <w:tcPr/>
          <w:p>
            <w:pPr>
              <w:pStyle w:val="Compact"/>
            </w:pPr>
          </w:p>
        </w:tc>
      </w:tr>
    </w:tbl>
    <w:bookmarkEnd w:id="23"/>
    <w:bookmarkStart w:id="24" w:name="Xf20224602fad952023f75a10290d3ab673a86c3"/>
    <w:p>
      <w:pPr>
        <w:pStyle w:val="Heading2"/>
      </w:pPr>
      <w:r>
        <w:t xml:space="preserve">4. Scope of Work – Human Resources Manager Responsibilities</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Purchase Order</w:t>
      </w:r>
      <w:r>
        <w:t xml:space="preserve"> </w:t>
      </w:r>
      <w:r>
        <w:t xml:space="preserve">shall perform the following duties at the Meridian Corporate Solutions A.Ş. office in</w:t>
      </w:r>
      <w:r>
        <w:t xml:space="preserve"> </w:t>
      </w:r>
      <w:r>
        <w:t xml:space="preserve">Turkey Ankara</w:t>
      </w:r>
      <w:r>
        <w:t xml:space="preserve">:</w:t>
      </w:r>
    </w:p>
    <w:p>
      <w:pPr>
        <w:numPr>
          <w:ilvl w:val="0"/>
          <w:numId w:val="1001"/>
        </w:numPr>
        <w:pStyle w:val="Compact"/>
      </w:pPr>
      <w:r>
        <w:t xml:space="preserve">Develop and implement comprehensive HR strategies aligned with the company's annual business objectives for all Ankara-based departments.</w:t>
      </w:r>
    </w:p>
    <w:p>
      <w:pPr>
        <w:numPr>
          <w:ilvl w:val="0"/>
          <w:numId w:val="1001"/>
        </w:numPr>
        <w:pStyle w:val="Compact"/>
      </w:pPr>
      <w:r>
        <w:t xml:space="preserve">Manage the full employee lifecycle: recruitment, selection, onboarding, training, performance evaluation, promotion, and offboarding in compliance with Turkish labor legislation.</w:t>
      </w:r>
    </w:p>
    <w:p>
      <w:pPr>
        <w:numPr>
          <w:ilvl w:val="0"/>
          <w:numId w:val="1001"/>
        </w:numPr>
        <w:pStyle w:val="Compact"/>
      </w:pPr>
      <w:r>
        <w:t xml:space="preserve">Ensure full regulatory compliance with the Turkish Ministry of Labor and Social Security, including social security (SGK) contributions, work permit administration for foreign employees, and occupational health and safety (İSG) requirements specific to the Ankara metropolitan region.</w:t>
      </w:r>
    </w:p>
    <w:p>
      <w:pPr>
        <w:numPr>
          <w:ilvl w:val="0"/>
          <w:numId w:val="1001"/>
        </w:numPr>
        <w:pStyle w:val="Compact"/>
      </w:pPr>
      <w:r>
        <w:t xml:space="preserve">Administer compensation and benefits programs, including annual salary reviews, bonus structures, and statutory entitlements (annual leave, sick leave, maternity/paternity leave) as mandated by Turkish law.</w:t>
      </w:r>
    </w:p>
    <w:p>
      <w:pPr>
        <w:numPr>
          <w:ilvl w:val="0"/>
          <w:numId w:val="1001"/>
        </w:numPr>
        <w:pStyle w:val="Compact"/>
      </w:pPr>
      <w:r>
        <w:t xml:space="preserve">Oversee employee relations, conflict resolution, and disciplinary procedures in accordance with the company's internal regulations and the Turkish Labor Code.</w:t>
      </w:r>
    </w:p>
    <w:p>
      <w:pPr>
        <w:numPr>
          <w:ilvl w:val="0"/>
          <w:numId w:val="1001"/>
        </w:numPr>
        <w:pStyle w:val="Compact"/>
      </w:pPr>
      <w:r>
        <w:t xml:space="preserve">Prepare and submit all mandatory HR reports to the Ankara Provincial Directorate of Labor (Çalışma ve Sosyal Güvenlik İl Müdürlüğü) within statutory deadlines.</w:t>
      </w:r>
    </w:p>
    <w:p>
      <w:pPr>
        <w:numPr>
          <w:ilvl w:val="0"/>
          <w:numId w:val="1001"/>
        </w:numPr>
        <w:pStyle w:val="Compact"/>
      </w:pPr>
      <w:r>
        <w:t xml:space="preserve">Lead organizational development initiatives, succession planning, and workforce analytics for the Ankara headquarters and any satellite offices within the Ankara province.</w:t>
      </w:r>
    </w:p>
    <w:bookmarkEnd w:id="24"/>
    <w:bookmarkStart w:id="25" w:name="payment-terms-and-conditions"/>
    <w:p>
      <w:pPr>
        <w:pStyle w:val="Heading2"/>
      </w:pPr>
      <w:r>
        <w:t xml:space="preserve">5. Payment Terms and Conditions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(TRY)</w:t>
            </w:r>
          </w:p>
        </w:tc>
        <w:tc>
          <w:tcPr/>
          <w:p>
            <w:pPr>
              <w:pStyle w:val="Compact"/>
              <w:jc w:val="left"/>
            </w:pPr>
            <w:r>
              <w:t xml:space="preserve">Due Date</w:t>
            </w:r>
          </w:p>
        </w:tc>
      </w:tr>
      <w:tr>
        <w:tc>
          <w:tcPr/>
          <w:p>
            <w:pPr>
              <w:pStyle w:val="Compact"/>
              <w:jc w:val="left"/>
            </w:pPr>
            <w:r>
              <w:t xml:space="preserve">Upon execution of this Purchase Order</w:t>
            </w:r>
          </w:p>
        </w:tc>
        <w:tc>
          <w:tcPr/>
          <w:p>
            <w:pPr>
              <w:pStyle w:val="Compact"/>
              <w:jc w:val="left"/>
            </w:pPr>
            <w:r>
              <w:t xml:space="preserve">30%</w:t>
            </w:r>
          </w:p>
        </w:tc>
        <w:tc>
          <w:tcPr/>
          <w:p>
            <w:pPr>
              <w:pStyle w:val="Compact"/>
              <w:jc w:val="left"/>
            </w:pPr>
            <w:r>
              <w:t xml:space="preserve">127,980.00</w:t>
            </w:r>
          </w:p>
        </w:tc>
        <w:tc>
          <w:tcPr/>
          <w:p>
            <w:pPr>
              <w:pStyle w:val="Compact"/>
              <w:jc w:val="left"/>
            </w:pPr>
            <w:r>
              <w:t xml:space="preserve">20 June 2025</w:t>
            </w:r>
          </w:p>
        </w:tc>
      </w:tr>
      <w:tr>
        <w:tc>
          <w:tcPr/>
          <w:p>
            <w:pPr>
              <w:pStyle w:val="Compact"/>
              <w:jc w:val="left"/>
            </w:pPr>
            <w:r>
              <w:t xml:space="preserve">Upon successful placement and commencement of the Human Resources Manager</w:t>
            </w:r>
          </w:p>
        </w:tc>
        <w:tc>
          <w:tcPr/>
          <w:p>
            <w:pPr>
              <w:pStyle w:val="Compact"/>
              <w:jc w:val="left"/>
            </w:pPr>
            <w:r>
              <w:t xml:space="preserve">40%</w:t>
            </w:r>
          </w:p>
        </w:tc>
        <w:tc>
          <w:tcPr/>
          <w:p>
            <w:pPr>
              <w:pStyle w:val="Compact"/>
              <w:jc w:val="left"/>
            </w:pPr>
            <w:r>
              <w:t xml:space="preserve">170,640.00</w:t>
            </w:r>
          </w:p>
        </w:tc>
        <w:tc>
          <w:tcPr/>
          <w:p>
            <w:pPr>
              <w:pStyle w:val="Compact"/>
              <w:jc w:val="left"/>
            </w:pPr>
            <w:r>
              <w:t xml:space="preserve">15 August 2025</w:t>
            </w:r>
          </w:p>
        </w:tc>
      </w:tr>
      <w:tr>
        <w:tc>
          <w:tcPr/>
          <w:p>
            <w:pPr>
              <w:pStyle w:val="Compact"/>
              <w:jc w:val="left"/>
            </w:pPr>
            <w:r>
              <w:t xml:space="preserve">Upon completion of 90-day probation and performance verification</w:t>
            </w:r>
          </w:p>
        </w:tc>
        <w:tc>
          <w:tcPr/>
          <w:p>
            <w:pPr>
              <w:pStyle w:val="Compact"/>
              <w:jc w:val="left"/>
            </w:pPr>
            <w:r>
              <w:t xml:space="preserve">20%</w:t>
            </w:r>
          </w:p>
        </w:tc>
        <w:tc>
          <w:tcPr/>
          <w:p>
            <w:pPr>
              <w:pStyle w:val="Compact"/>
              <w:jc w:val="left"/>
            </w:pPr>
            <w:r>
              <w:t xml:space="preserve">85,320.00</w:t>
            </w:r>
          </w:p>
        </w:tc>
        <w:tc>
          <w:tcPr/>
          <w:p>
            <w:pPr>
              <w:pStyle w:val="Compact"/>
              <w:jc w:val="left"/>
            </w:pPr>
            <w:r>
              <w:t xml:space="preserve">15 November 2025</w:t>
            </w:r>
          </w:p>
        </w:tc>
      </w:tr>
      <w:tr>
        <w:tc>
          <w:tcPr/>
          <w:p>
            <w:pPr>
              <w:pStyle w:val="Compact"/>
              <w:jc w:val="left"/>
            </w:pPr>
            <w:r>
              <w:t xml:space="preserve">Upon completion of first-year compliance audit and professional development</w:t>
            </w:r>
          </w:p>
        </w:tc>
        <w:tc>
          <w:tcPr/>
          <w:p>
            <w:pPr>
              <w:pStyle w:val="Compact"/>
              <w:jc w:val="left"/>
            </w:pPr>
            <w:r>
              <w:t xml:space="preserve">10%</w:t>
            </w:r>
          </w:p>
        </w:tc>
        <w:tc>
          <w:tcPr/>
          <w:p>
            <w:pPr>
              <w:pStyle w:val="Compact"/>
              <w:jc w:val="left"/>
            </w:pPr>
            <w:r>
              <w:t xml:space="preserve">42,660.00</w:t>
            </w:r>
          </w:p>
        </w:tc>
        <w:tc>
          <w:tcPr/>
          <w:p>
            <w:pPr>
              <w:pStyle w:val="Compact"/>
              <w:jc w:val="left"/>
            </w:pPr>
            <w:r>
              <w:t xml:space="preserve">15 June 2026</w:t>
            </w:r>
          </w:p>
        </w:tc>
      </w:tr>
    </w:tbl>
    <w:p>
      <w:pPr>
        <w:pStyle w:val="BodyText"/>
      </w:pPr>
      <w:r>
        <w:t xml:space="preserve">All payments shall be made via bank transfer (EFT/Havale) to the IBAN specified in Section 1. Invoices must be issued in accordance with Turkish e-invoicing (e-Fatura) regulations and submitted to the procurement department at Meridian Corporate Solutions A.Ş., Ankara, no later than five (5) business days prior to the due date.</w:t>
      </w:r>
    </w:p>
    <w:bookmarkEnd w:id="25"/>
    <w:bookmarkStart w:id="26" w:name="terms-conditions-and-legal-provisions"/>
    <w:p>
      <w:pPr>
        <w:pStyle w:val="Heading2"/>
      </w:pPr>
      <w:r>
        <w:t xml:space="preserve">6. Terms, Conditions, and Legal Provisions</w:t>
      </w:r>
    </w:p>
    <w:p>
      <w:pPr>
        <w:pStyle w:val="FirstParagraph"/>
      </w:pPr>
      <w:r>
        <w:rPr>
          <w:bCs/>
          <w:b/>
        </w:rPr>
        <w:t xml:space="preserve">6.1</w:t>
      </w:r>
      <w:r>
        <w:t xml:space="preserve"> </w:t>
      </w:r>
      <w:r>
        <w:t xml:space="preserve">This</w:t>
      </w:r>
      <w:r>
        <w:t xml:space="preserve"> </w:t>
      </w:r>
      <w:r>
        <w:t xml:space="preserve">Purchase Order</w:t>
      </w:r>
      <w:r>
        <w:t xml:space="preserve"> </w:t>
      </w:r>
      <w:r>
        <w:t xml:space="preserve">constitutes a binding agreement between Meridian Corporate Solutions A.Ş. (hereinafter "the Buyer") and Profesyonel İK Danışmanlık A.Ş. (hereinafter "the Vendor") for the procurement of a</w:t>
      </w:r>
      <w:r>
        <w:t xml:space="preserve"> </w:t>
      </w:r>
      <w:r>
        <w:t xml:space="preserve">Human Resources Manager</w:t>
      </w:r>
      <w:r>
        <w:t xml:space="preserve"> </w:t>
      </w:r>
      <w:r>
        <w:t xml:space="preserve">service in</w:t>
      </w:r>
      <w:r>
        <w:t xml:space="preserve"> </w:t>
      </w:r>
      <w:r>
        <w:t xml:space="preserve">Turkey Ankara</w:t>
      </w:r>
      <w:r>
        <w:t xml:space="preserve">.</w:t>
      </w:r>
    </w:p>
    <w:p>
      <w:pPr>
        <w:pStyle w:val="BodyText"/>
      </w:pPr>
      <w:r>
        <w:rPr>
          <w:bCs/>
          <w:b/>
        </w:rPr>
        <w:t xml:space="preserve">6.2</w:t>
      </w:r>
      <w:r>
        <w:t xml:space="preserve"> </w:t>
      </w:r>
      <w:r>
        <w:t xml:space="preserve">The Vendor guarantees that the</w:t>
      </w:r>
      <w:r>
        <w:t xml:space="preserve"> </w:t>
      </w:r>
      <w:r>
        <w:t xml:space="preserve">Human Resources Manager</w:t>
      </w:r>
      <w:r>
        <w:t xml:space="preserve"> </w:t>
      </w:r>
      <w:r>
        <w:t xml:space="preserve">placed under this order shall possess a minimum of eight (8) years of progressive HR experience, a relevant bachelor's or master's degree in Human Resources, Business Administration, or a related field, and full fluency in Turkish with professional proficiency in English.</w:t>
      </w:r>
    </w:p>
    <w:p>
      <w:pPr>
        <w:pStyle w:val="BodyText"/>
      </w:pPr>
      <w:r>
        <w:rPr>
          <w:bCs/>
          <w:b/>
        </w:rPr>
        <w:t xml:space="preserve">6.3</w:t>
      </w:r>
      <w:r>
        <w:t xml:space="preserve"> </w:t>
      </w:r>
      <w:r>
        <w:t xml:space="preserve">The</w:t>
      </w:r>
      <w:r>
        <w:t xml:space="preserve"> </w:t>
      </w:r>
      <w:r>
        <w:t xml:space="preserve">Human Resources Manager</w:t>
      </w:r>
      <w:r>
        <w:t xml:space="preserve"> </w:t>
      </w:r>
      <w:r>
        <w:t xml:space="preserve">shall be subject to a 12-month replacement guarantee. In the event the candidate resigns, is terminated for cause, or fails to meet the agreed performance benchmarks within the first twelve months, the Vendor shall provide a qualified replacement at no additional cost to the Buyer.</w:t>
      </w:r>
    </w:p>
    <w:p>
      <w:pPr>
        <w:pStyle w:val="BodyText"/>
      </w:pPr>
      <w:r>
        <w:rPr>
          <w:bCs/>
          <w:b/>
        </w:rPr>
        <w:t xml:space="preserve">6.4</w:t>
      </w:r>
      <w:r>
        <w:t xml:space="preserve"> </w:t>
      </w:r>
      <w:r>
        <w:t xml:space="preserve">All services rendered under this</w:t>
      </w:r>
      <w:r>
        <w:t xml:space="preserve"> </w:t>
      </w:r>
      <w:r>
        <w:t xml:space="preserve">Purchase Order</w:t>
      </w:r>
      <w:r>
        <w:t xml:space="preserve"> </w:t>
      </w:r>
      <w:r>
        <w:t xml:space="preserve">shall be performed in strict compliance with the laws of the Republic of Turkey, including but not limited to the Turkish Labor Law (4857), the Turkish Civil Code, the Turkish Tax Code, and all regulations issued by the Ankara Provincial Directorate of Labor.</w:t>
      </w:r>
    </w:p>
    <w:p>
      <w:pPr>
        <w:pStyle w:val="BodyText"/>
      </w:pPr>
      <w:r>
        <w:rPr>
          <w:bCs/>
          <w:b/>
        </w:rPr>
        <w:t xml:space="preserve">6.5</w:t>
      </w:r>
      <w:r>
        <w:t xml:space="preserve"> </w:t>
      </w:r>
      <w:r>
        <w:t xml:space="preserve">The Vendor shall maintain full confidentiality regarding the Buyer's proprietary information, employee data, and internal HR policies. A separate Non-Disclosure Agreement (NDA) shall be executed concurrently with this</w:t>
      </w:r>
      <w:r>
        <w:t xml:space="preserve"> </w:t>
      </w:r>
      <w:r>
        <w:t xml:space="preserve">Purchase Order</w:t>
      </w:r>
      <w:r>
        <w:t xml:space="preserve">.</w:t>
      </w:r>
    </w:p>
    <w:p>
      <w:pPr>
        <w:pStyle w:val="BodyText"/>
      </w:pPr>
      <w:r>
        <w:rPr>
          <w:bCs/>
          <w:b/>
        </w:rPr>
        <w:t xml:space="preserve">6.6</w:t>
      </w:r>
      <w:r>
        <w:t xml:space="preserve"> </w:t>
      </w:r>
      <w:r>
        <w:t xml:space="preserve">In the event of any dispute arising from this</w:t>
      </w:r>
      <w:r>
        <w:t xml:space="preserve"> </w:t>
      </w:r>
      <w:r>
        <w:t xml:space="preserve">Purchase Order</w:t>
      </w:r>
      <w:r>
        <w:t xml:space="preserve">, both parties agree to first attempt resolution through good-faith negotiation. Should negotiation fail, the dispute shall be submitted to the competent courts and arbitration centers in</w:t>
      </w:r>
      <w:r>
        <w:t xml:space="preserve"> </w:t>
      </w:r>
      <w:r>
        <w:t xml:space="preserve">Turkey Ankara</w:t>
      </w:r>
      <w:r>
        <w:t xml:space="preserve"> </w:t>
      </w:r>
      <w:r>
        <w:t xml:space="preserve">(Çankaya District Court) in accordance with the Turkish Code of Civil Procedure.</w:t>
      </w:r>
    </w:p>
    <w:p>
      <w:pPr>
        <w:pStyle w:val="BodyText"/>
      </w:pPr>
      <w:r>
        <w:rPr>
          <w:bCs/>
          <w:b/>
        </w:rPr>
        <w:t xml:space="preserve">6.7</w:t>
      </w:r>
      <w:r>
        <w:t xml:space="preserve"> </w:t>
      </w:r>
      <w:r>
        <w:t xml:space="preserve">This</w:t>
      </w:r>
      <w:r>
        <w:t xml:space="preserve"> </w:t>
      </w:r>
      <w:r>
        <w:t xml:space="preserve">Purchase Order</w:t>
      </w:r>
      <w:r>
        <w:t xml:space="preserve"> </w:t>
      </w:r>
      <w:r>
        <w:t xml:space="preserve">shall remain valid for thirty (30) calendar days from the date of issue. Failure to execute and return a signed copy within this period shall render this order null and void.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a</w:t>
      </w:r>
      <w:r>
        <w:t xml:space="preserve"> </w:t>
      </w:r>
      <w:r>
        <w:t xml:space="preserve">Human Resources Manager</w:t>
      </w:r>
      <w:r>
        <w:t xml:space="preserve"> </w:t>
      </w:r>
      <w:r>
        <w:t xml:space="preserve">in</w:t>
      </w:r>
      <w:r>
        <w:t xml:space="preserve"> </w:t>
      </w:r>
      <w:r>
        <w:t xml:space="preserve">Turkey Ankara</w:t>
      </w:r>
      <w:r>
        <w:t xml:space="preserve">.</w:t>
      </w:r>
    </w:p>
    <w:bookmarkEnd w:id="27"/>
    <w:p>
      <w:pPr>
        <w:pStyle w:val="BodyText"/>
      </w:pPr>
      <w:r>
        <w:rPr>
          <w:bCs/>
          <w:b/>
        </w:rPr>
        <w:t xml:space="preserve">For the Buyer:</w:t>
      </w:r>
    </w:p>
    <w:p>
      <w:pPr>
        <w:pStyle w:val="BodyText"/>
      </w:pPr>
      <w:r>
        <w:t xml:space="preserve">Meridian Corporate Solutions A.Ş.</w:t>
      </w:r>
    </w:p>
    <w:p>
      <w:pPr>
        <w:pStyle w:val="BodyText"/>
      </w:pPr>
      <w:r>
        <w:t xml:space="preserve">Authorized Signatory</w:t>
      </w:r>
    </w:p>
    <w:p>
      <w:pPr>
        <w:pStyle w:val="BodyText"/>
      </w:pPr>
      <w:r>
        <w:t xml:space="preserve">Name: Mr. Ahmet Yılmaz</w:t>
      </w:r>
    </w:p>
    <w:p>
      <w:pPr>
        <w:pStyle w:val="BodyText"/>
      </w:pPr>
      <w:r>
        <w:t xml:space="preserve">Title: Chief Executive Officer</w:t>
      </w:r>
    </w:p>
    <w:p>
      <w:pPr>
        <w:pStyle w:val="BodyText"/>
      </w:pPr>
      <w:r>
        <w:t xml:space="preserve">Date: _______________</w:t>
      </w:r>
    </w:p>
    <w:p>
      <w:pPr>
        <w:pStyle w:val="BodyText"/>
      </w:pPr>
      <w:r>
        <w:t xml:space="preserve">Company Stamp / Seal</w:t>
      </w:r>
    </w:p>
    <w:p>
      <w:pPr>
        <w:pStyle w:val="BodyText"/>
      </w:pPr>
      <w:r>
        <w:rPr>
          <w:bCs/>
          <w:b/>
        </w:rPr>
        <w:t xml:space="preserve">For the Vendor:</w:t>
      </w:r>
    </w:p>
    <w:p>
      <w:pPr>
        <w:pStyle w:val="BodyText"/>
      </w:pPr>
      <w:r>
        <w:t xml:space="preserve">Profesyonel İK Danışmanlık A.Ş.</w:t>
      </w:r>
    </w:p>
    <w:p>
      <w:pPr>
        <w:pStyle w:val="BodyText"/>
      </w:pPr>
      <w:r>
        <w:t xml:space="preserve">Authorized Signatory</w:t>
      </w:r>
    </w:p>
    <w:p>
      <w:pPr>
        <w:pStyle w:val="BodyText"/>
      </w:pPr>
      <w:r>
        <w:t xml:space="preserve">Name: Ms. Elif Kaya</w:t>
      </w:r>
    </w:p>
    <w:p>
      <w:pPr>
        <w:pStyle w:val="BodyText"/>
      </w:pPr>
      <w:r>
        <w:t xml:space="preserve">Title: Senior Placement Director</w:t>
      </w:r>
    </w:p>
    <w:p>
      <w:pPr>
        <w:pStyle w:val="BodyText"/>
      </w:pPr>
      <w:r>
        <w:t xml:space="preserve">Date: _______________</w:t>
      </w:r>
    </w:p>
    <w:p>
      <w:pPr>
        <w:pStyle w:val="BodyText"/>
      </w:pPr>
      <w:r>
        <w:t xml:space="preserve">Company Stamp / Seal</w:t>
      </w:r>
    </w:p>
    <w:p>
      <w:pPr>
        <w:pStyle w:val="BodyText"/>
      </w:pPr>
      <w:r>
        <w:t xml:space="preserve">This Purchase Order (PO No: MCR-2025-0472) is issued by Meridian Corporate Solutions A.Ş., Ankara, Turkey, for the procurement of a Human Resources Manager position. All communications regarding this order shall be directed to the Procurement Department, 19 Mayıs Street No. 42, Kızılay, Çankaya, 06420 Ankara, Turkey. This document is valid only when bearing the official company seal and authorized signature of both parties. © 2025 Meridian Corporate Solutions A.Ş.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Turkey Ankara</dc:title>
  <dc:creator/>
  <dc:language>en</dc:language>
  <cp:keywords/>
  <dcterms:created xsi:type="dcterms:W3CDTF">2026-10-10T08:27:54Z</dcterms:created>
  <dcterms:modified xsi:type="dcterms:W3CDTF">2026-10-10T08:27:54Z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