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Judge's</w:t>
      </w:r>
      <w:r>
        <w:t xml:space="preserve"> </w:t>
      </w:r>
      <w:r>
        <w:t xml:space="preserve">Office</w:t>
      </w:r>
      <w:r>
        <w:t xml:space="preserve"> </w:t>
      </w:r>
      <w:r>
        <w:t xml:space="preserve">Supplies</w:t>
      </w:r>
      <w:r>
        <w:t xml:space="preserve"> </w:t>
      </w:r>
      <w:r>
        <w:t xml:space="preserve">-</w:t>
      </w:r>
      <w:r>
        <w:t xml:space="preserve"> </w:t>
      </w:r>
      <w:r>
        <w:t xml:space="preserve">Alexandria,</w:t>
      </w:r>
      <w:r>
        <w:t xml:space="preserve"> </w:t>
      </w:r>
      <w:r>
        <w:t xml:space="preserve">Egypt</w:t>
      </w:r>
    </w:p>
    <w:bookmarkStart w:id="20" w:name="purchase-order"/>
    <w:p>
      <w:pPr>
        <w:pStyle w:val="Heading1"/>
      </w:pPr>
      <w:r>
        <w:t xml:space="preserve">PURCHASE ORDER</w:t>
      </w:r>
    </w:p>
    <w:p>
      <w:pPr>
        <w:pStyle w:val="FirstParagraph"/>
      </w:pPr>
      <w:r>
        <w:t xml:space="preserve">Official Procurement Document for Judicial Office Equipment and Supplies</w:t>
      </w:r>
    </w:p>
    <w:p>
      <w:pPr>
        <w:pStyle w:val="BodyText"/>
      </w:pPr>
      <w:r>
        <w:t xml:space="preserve">Alexandria, Egypt — Ministry of Justice, Judicial Administration Division</w:t>
      </w:r>
    </w:p>
    <w:bookmarkEnd w:id="20"/>
    <w:p>
      <w:pPr>
        <w:pStyle w:val="BodyText"/>
      </w:pPr>
      <w:r>
        <w:t xml:space="preserve">PO No.: ALE-JDG-2025-04782</w:t>
      </w:r>
    </w:p>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Purchase Order Number</w:t>
            </w:r>
          </w:p>
        </w:tc>
        <w:tc>
          <w:tcPr/>
          <w:p>
            <w:pPr>
              <w:pStyle w:val="Compact"/>
              <w:jc w:val="left"/>
            </w:pPr>
            <w:r>
              <w:t xml:space="preserve">ALE-JDG-2025-04782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Date</w:t>
            </w:r>
          </w:p>
        </w:tc>
        <w:tc>
          <w:tcPr/>
          <w:p>
            <w:pPr>
              <w:pStyle w:val="Compact"/>
              <w:jc w:val="left"/>
            </w:pPr>
            <w:r>
              <w:t xml:space="preserve">15 August 2025</w:t>
            </w:r>
          </w:p>
        </w:tc>
      </w:tr>
      <w:tr>
        <w:tc>
          <w:tcPr/>
          <w:p>
            <w:pPr>
              <w:pStyle w:val="Compact"/>
              <w:jc w:val="left"/>
            </w:pPr>
            <w:r>
              <w:t xml:space="preserve">Issuing Authority</w:t>
            </w:r>
          </w:p>
        </w:tc>
        <w:tc>
          <w:tcPr/>
          <w:p>
            <w:pPr>
              <w:pStyle w:val="Compact"/>
              <w:jc w:val="left"/>
            </w:pPr>
            <w:r>
              <w:t xml:space="preserve">Office of the Chief Judge, Alexandria Court of Appeal, Egypt</w:t>
            </w:r>
          </w:p>
        </w:tc>
      </w:tr>
      <w:tr>
        <w:tc>
          <w:tcPr/>
          <w:p>
            <w:pPr>
              <w:pStyle w:val="Compact"/>
              <w:jc w:val="left"/>
            </w:pPr>
            <w:r>
              <w:t xml:space="preserve">Delivery Address</w:t>
            </w:r>
          </w:p>
        </w:tc>
        <w:tc>
          <w:tcPr/>
          <w:p>
            <w:pPr>
              <w:pStyle w:val="Compact"/>
              <w:jc w:val="left"/>
            </w:pPr>
            <w:r>
              <w:t xml:space="preserve">Alexandria Judicial Complex, 42 Corniche El-Nil Street, Alexandria 21542, Egypt</w:t>
            </w:r>
          </w:p>
        </w:tc>
      </w:tr>
      <w:tr>
        <w:tc>
          <w:tcPr/>
          <w:p>
            <w:pPr>
              <w:pStyle w:val="Compact"/>
              <w:jc w:val="left"/>
            </w:pPr>
            <w:r>
              <w:t xml:space="preserve">Authorized Signatory</w:t>
            </w:r>
          </w:p>
        </w:tc>
        <w:tc>
          <w:tcPr/>
          <w:p>
            <w:pPr>
              <w:pStyle w:val="Compact"/>
              <w:jc w:val="left"/>
            </w:pPr>
            <w:r>
              <w:t xml:space="preserve">Hon. Judge Mahmoud El-Sayed, Presiding Judge, Alexandria District Court</w:t>
            </w:r>
          </w:p>
        </w:tc>
      </w:tr>
      <w:tr>
        <w:tc>
          <w:tcPr/>
          <w:p>
            <w:pPr>
              <w:pStyle w:val="Compact"/>
              <w:jc w:val="left"/>
            </w:pPr>
            <w:r>
              <w:t xml:space="preserve">Payment Terms</w:t>
            </w:r>
          </w:p>
        </w:tc>
        <w:tc>
          <w:tcPr/>
          <w:p>
            <w:pPr>
              <w:pStyle w:val="Compact"/>
              <w:jc w:val="left"/>
            </w:pPr>
            <w:r>
              <w:t xml:space="preserve">Net 45 days from confirmed delivery and inspection</w:t>
            </w:r>
          </w:p>
        </w:tc>
      </w:tr>
      <w:tr>
        <w:tc>
          <w:tcPr/>
          <w:p>
            <w:pPr>
              <w:pStyle w:val="Compact"/>
              <w:jc w:val="left"/>
            </w:pPr>
            <w:r>
              <w:t xml:space="preserve">Currency</w:t>
            </w:r>
          </w:p>
        </w:tc>
        <w:tc>
          <w:tcPr/>
          <w:p>
            <w:pPr>
              <w:pStyle w:val="Compact"/>
              <w:jc w:val="left"/>
            </w:pPr>
            <w:r>
              <w:t xml:space="preserve">Egyptian Pound (EGP)</w:t>
            </w:r>
          </w:p>
        </w:tc>
      </w:tr>
    </w:tbl>
    <w:bookmarkEnd w:id="21"/>
    <w:bookmarkStart w:id="22" w:name="vendor-supplier-information"/>
    <w:p>
      <w:pPr>
        <w:pStyle w:val="Heading2"/>
      </w:pPr>
      <w:r>
        <w:t xml:space="preserve">2. 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Supplier Name</w:t>
            </w:r>
          </w:p>
        </w:tc>
        <w:tc>
          <w:tcPr/>
          <w:p>
            <w:pPr>
              <w:pStyle w:val="Compact"/>
              <w:jc w:val="left"/>
            </w:pPr>
            <w:r>
              <w:t xml:space="preserve">Alexandria Judicial Furnishings &amp; Legal Supplies Co., Ltd.</w:t>
            </w:r>
          </w:p>
        </w:tc>
      </w:tr>
      <w:tr>
        <w:tc>
          <w:tcPr/>
          <w:p>
            <w:pPr>
              <w:pStyle w:val="Compact"/>
              <w:jc w:val="left"/>
            </w:pPr>
            <w:r>
              <w:t xml:space="preserve">Supplier Address</w:t>
            </w:r>
          </w:p>
        </w:tc>
        <w:tc>
          <w:tcPr/>
          <w:p>
            <w:pPr>
              <w:pStyle w:val="Compact"/>
              <w:jc w:val="left"/>
            </w:pPr>
            <w:r>
              <w:t xml:space="preserve">18 El-Montazah Industrial Zone, Alexandria, Egypt</w:t>
            </w:r>
          </w:p>
        </w:tc>
      </w:tr>
      <w:tr>
        <w:tc>
          <w:tcPr/>
          <w:p>
            <w:pPr>
              <w:pStyle w:val="Compact"/>
              <w:jc w:val="left"/>
            </w:pPr>
            <w:r>
              <w:t xml:space="preserve">Tax Registration No.</w:t>
            </w:r>
          </w:p>
        </w:tc>
        <w:tc>
          <w:tcPr/>
          <w:p>
            <w:pPr>
              <w:pStyle w:val="Compact"/>
              <w:jc w:val="left"/>
            </w:pPr>
            <w:r>
              <w:t xml:space="preserve">EG-554-7821-0034</w:t>
            </w:r>
          </w:p>
        </w:tc>
      </w:tr>
      <w:tr>
        <w:tc>
          <w:tcPr/>
          <w:p>
            <w:pPr>
              <w:pStyle w:val="Compact"/>
              <w:jc w:val="left"/>
            </w:pPr>
            <w:r>
              <w:t xml:space="preserve">Contact Person</w:t>
            </w:r>
          </w:p>
        </w:tc>
        <w:tc>
          <w:tcPr/>
          <w:p>
            <w:pPr>
              <w:pStyle w:val="Compact"/>
              <w:jc w:val="left"/>
            </w:pPr>
            <w:r>
              <w:t xml:space="preserve">Mr. Tarek Hassan, Procurement Manager</w:t>
            </w:r>
          </w:p>
        </w:tc>
      </w:tr>
      <w:tr>
        <w:tc>
          <w:tcPr/>
          <w:p>
            <w:pPr>
              <w:pStyle w:val="Compact"/>
              <w:jc w:val="left"/>
            </w:pPr>
            <w:r>
              <w:t xml:space="preserve">Contact Email</w:t>
            </w:r>
          </w:p>
        </w:tc>
        <w:tc>
          <w:tcPr/>
          <w:p>
            <w:pPr>
              <w:pStyle w:val="Compact"/>
              <w:jc w:val="left"/>
            </w:pPr>
            <w:r>
              <w:t xml:space="preserve">procurement@alexjudicial-eg.com</w:t>
            </w:r>
          </w:p>
        </w:tc>
      </w:tr>
      <w:tr>
        <w:tc>
          <w:tcPr/>
          <w:p>
            <w:pPr>
              <w:pStyle w:val="Compact"/>
              <w:jc w:val="left"/>
            </w:pPr>
            <w:r>
              <w:t xml:space="preserve">Contact Phone</w:t>
            </w:r>
          </w:p>
        </w:tc>
        <w:tc>
          <w:tcPr/>
          <w:p>
            <w:pPr>
              <w:pStyle w:val="Compact"/>
              <w:jc w:val="left"/>
            </w:pPr>
            <w:r>
              <w:t xml:space="preserve">+20 3 482 7719</w:t>
            </w:r>
          </w:p>
        </w:tc>
      </w:tr>
    </w:tbl>
    <w:bookmarkEnd w:id="22"/>
    <w:bookmarkStart w:id="23" w:name="Xcee7c42a203e96bd6d1620276430b891ed0a29a"/>
    <w:p>
      <w:pPr>
        <w:pStyle w:val="Heading2"/>
      </w:pPr>
      <w:r>
        <w:t xml:space="preserve">3. Itemized Purchase Order for Judge's Office</w:t>
      </w:r>
    </w:p>
    <w:p>
      <w:pPr>
        <w:pStyle w:val="FirstParagraph"/>
      </w:pPr>
      <w:r>
        <w:t xml:space="preserve">This Purchase Order is issued to procure essential equipment, furniture, and operational supplies required for the Judge's chambers and courtroom at the Alexandria Court of Appeal. All items must comply with the specifications set forth by the Egyptian Ministry of Justice and the standards governing judicial facilities in Alexandria, Egypt.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Executive Judge's Bench (Mahogany, with built-in document tray and integrated audio system), courtroom-grade, Alexandria Court specification</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Judge's Chamber Desk (Walnut, 220cm x 110cm, with leather inlay and cable management), for the presiding Judge's private office</w:t>
            </w:r>
          </w:p>
        </w:tc>
        <w:tc>
          <w:tcPr/>
          <w:p>
            <w:pPr>
              <w:pStyle w:val="Compact"/>
              <w:jc w:val="left"/>
            </w:pPr>
            <w:r>
              <w:t xml:space="preserve">2</w:t>
            </w:r>
          </w:p>
        </w:tc>
        <w:tc>
          <w:tcPr/>
          <w:p>
            <w:pPr>
              <w:pStyle w:val="Compact"/>
              <w:jc w:val="left"/>
            </w:pPr>
            <w:r>
              <w:t xml:space="preserve">92,500</w:t>
            </w:r>
          </w:p>
        </w:tc>
        <w:tc>
          <w:tcPr/>
          <w:p>
            <w:pPr>
              <w:pStyle w:val="Compact"/>
              <w:jc w:val="left"/>
            </w:pPr>
            <w:r>
              <w:t xml:space="preserve">185,000</w:t>
            </w:r>
          </w:p>
        </w:tc>
      </w:tr>
      <w:tr>
        <w:tc>
          <w:tcPr/>
          <w:p>
            <w:pPr>
              <w:pStyle w:val="Compact"/>
              <w:jc w:val="left"/>
            </w:pPr>
            <w:r>
              <w:t xml:space="preserve">03</w:t>
            </w:r>
          </w:p>
        </w:tc>
        <w:tc>
          <w:tcPr/>
          <w:p>
            <w:pPr>
              <w:pStyle w:val="Compact"/>
              <w:jc w:val="left"/>
            </w:pPr>
            <w:r>
              <w:t xml:space="preserve">Official Judge's Seal and Stamp Set (brass, engraved with Alexandria Court of Appeal insignia and Judge's name), including 500 replacement ink pads</w:t>
            </w:r>
          </w:p>
        </w:tc>
        <w:tc>
          <w:tcPr/>
          <w:p>
            <w:pPr>
              <w:pStyle w:val="Compact"/>
              <w:jc w:val="left"/>
            </w:pPr>
            <w:r>
              <w:t xml:space="preserve">3</w:t>
            </w:r>
          </w:p>
        </w:tc>
        <w:tc>
          <w:tcPr/>
          <w:p>
            <w:pPr>
              <w:pStyle w:val="Compact"/>
              <w:jc w:val="left"/>
            </w:pPr>
            <w:r>
              <w:t xml:space="preserve">4,200</w:t>
            </w:r>
          </w:p>
        </w:tc>
        <w:tc>
          <w:tcPr/>
          <w:p>
            <w:pPr>
              <w:pStyle w:val="Compact"/>
              <w:jc w:val="left"/>
            </w:pPr>
            <w:r>
              <w:t xml:space="preserve">12,600</w:t>
            </w:r>
          </w:p>
        </w:tc>
      </w:tr>
      <w:tr>
        <w:tc>
          <w:tcPr/>
          <w:p>
            <w:pPr>
              <w:pStyle w:val="Compact"/>
              <w:jc w:val="left"/>
            </w:pPr>
            <w:r>
              <w:t xml:space="preserve">04</w:t>
            </w:r>
          </w:p>
        </w:tc>
        <w:tc>
          <w:tcPr/>
          <w:p>
            <w:pPr>
              <w:pStyle w:val="Compact"/>
              <w:jc w:val="left"/>
            </w:pPr>
            <w:r>
              <w:t xml:space="preserve">Legal Reference Library Set (complete Egyptian Civil Code, Penal Code, Commercial Code, and Alexandria Court procedural manuals, 2025 edition)</w:t>
            </w:r>
          </w:p>
        </w:tc>
        <w:tc>
          <w:tcPr/>
          <w:p>
            <w:pPr>
              <w:pStyle w:val="Compact"/>
              <w:jc w:val="left"/>
            </w:pPr>
            <w:r>
              <w:t xml:space="preserve">5</w:t>
            </w:r>
          </w:p>
        </w:tc>
        <w:tc>
          <w:tcPr/>
          <w:p>
            <w:pPr>
              <w:pStyle w:val="Compact"/>
              <w:jc w:val="left"/>
            </w:pPr>
            <w:r>
              <w:t xml:space="preserve">18,750</w:t>
            </w:r>
          </w:p>
        </w:tc>
        <w:tc>
          <w:tcPr/>
          <w:p>
            <w:pPr>
              <w:pStyle w:val="Compact"/>
              <w:jc w:val="left"/>
            </w:pPr>
            <w:r>
              <w:t xml:space="preserve">93,750</w:t>
            </w:r>
          </w:p>
        </w:tc>
      </w:tr>
      <w:tr>
        <w:tc>
          <w:tcPr/>
          <w:p>
            <w:pPr>
              <w:pStyle w:val="Compact"/>
              <w:jc w:val="left"/>
            </w:pPr>
            <w:r>
              <w:t xml:space="preserve">05</w:t>
            </w:r>
          </w:p>
        </w:tc>
        <w:tc>
          <w:tcPr/>
          <w:p>
            <w:pPr>
              <w:pStyle w:val="Compact"/>
              <w:jc w:val="left"/>
            </w:pPr>
            <w:r>
              <w:t xml:space="preserve">Courtroom Audio-Visual System (ceiling-mounted speakers, Judge's microphone, digital recording unit, and display monitor for evidence presentation)</w:t>
            </w:r>
          </w:p>
        </w:tc>
        <w:tc>
          <w:tcPr/>
          <w:p>
            <w:pPr>
              <w:pStyle w:val="Compact"/>
              <w:jc w:val="left"/>
            </w:pPr>
            <w:r>
              <w:t xml:space="preserve">2</w:t>
            </w:r>
          </w:p>
        </w:tc>
        <w:tc>
          <w:tcPr/>
          <w:p>
            <w:pPr>
              <w:pStyle w:val="Compact"/>
              <w:jc w:val="left"/>
            </w:pPr>
            <w:r>
              <w:t xml:space="preserve">145,000</w:t>
            </w:r>
          </w:p>
        </w:tc>
        <w:tc>
          <w:tcPr/>
          <w:p>
            <w:pPr>
              <w:pStyle w:val="Compact"/>
              <w:jc w:val="left"/>
            </w:pPr>
            <w:r>
              <w:t xml:space="preserve">290,000</w:t>
            </w:r>
          </w:p>
        </w:tc>
      </w:tr>
      <w:tr>
        <w:tc>
          <w:tcPr/>
          <w:p>
            <w:pPr>
              <w:pStyle w:val="Compact"/>
              <w:jc w:val="left"/>
            </w:pPr>
            <w:r>
              <w:t xml:space="preserve">06</w:t>
            </w:r>
          </w:p>
        </w:tc>
        <w:tc>
          <w:tcPr/>
          <w:p>
            <w:pPr>
              <w:pStyle w:val="Compact"/>
              <w:jc w:val="left"/>
            </w:pPr>
            <w:r>
              <w:t xml:space="preserve">Judge's Robe and Official Attire (black judicial robe with Alexandria Court embroidery, matching sash, and official cap), per Egyptian judicial dress code</w:t>
            </w:r>
          </w:p>
        </w:tc>
        <w:tc>
          <w:tcPr/>
          <w:p>
            <w:pPr>
              <w:pStyle w:val="Compact"/>
              <w:jc w:val="left"/>
            </w:pPr>
            <w:r>
              <w:t xml:space="preserve">4</w:t>
            </w:r>
          </w:p>
        </w:tc>
        <w:tc>
          <w:tcPr/>
          <w:p>
            <w:pPr>
              <w:pStyle w:val="Compact"/>
              <w:jc w:val="left"/>
            </w:pPr>
            <w:r>
              <w:t xml:space="preserve">8,500</w:t>
            </w:r>
          </w:p>
        </w:tc>
        <w:tc>
          <w:tcPr/>
          <w:p>
            <w:pPr>
              <w:pStyle w:val="Compact"/>
              <w:jc w:val="left"/>
            </w:pPr>
            <w:r>
              <w:t xml:space="preserve">34,000</w:t>
            </w:r>
          </w:p>
        </w:tc>
      </w:tr>
      <w:tr>
        <w:tc>
          <w:tcPr/>
          <w:p>
            <w:pPr>
              <w:pStyle w:val="Compact"/>
              <w:jc w:val="left"/>
            </w:pPr>
            <w:r>
              <w:t xml:space="preserve">07</w:t>
            </w:r>
          </w:p>
        </w:tc>
        <w:tc>
          <w:tcPr/>
          <w:p>
            <w:pPr>
              <w:pStyle w:val="Compact"/>
              <w:jc w:val="left"/>
            </w:pPr>
            <w:r>
              <w:t xml:space="preserve">Secure Document Filing Cabinet (fire-resistant, steel, 4-drawer, with electronic lock), for Judge's case files and confidential records</w:t>
            </w:r>
          </w:p>
        </w:tc>
        <w:tc>
          <w:tcPr/>
          <w:p>
            <w:pPr>
              <w:pStyle w:val="Compact"/>
              <w:jc w:val="left"/>
            </w:pPr>
            <w:r>
              <w:t xml:space="preserve">3</w:t>
            </w:r>
          </w:p>
        </w:tc>
        <w:tc>
          <w:tcPr/>
          <w:p>
            <w:pPr>
              <w:pStyle w:val="Compact"/>
              <w:jc w:val="left"/>
            </w:pPr>
            <w:r>
              <w:t xml:space="preserve">32,000</w:t>
            </w:r>
          </w:p>
        </w:tc>
        <w:tc>
          <w:tcPr/>
          <w:p>
            <w:pPr>
              <w:pStyle w:val="Compact"/>
              <w:jc w:val="left"/>
            </w:pPr>
            <w:r>
              <w:t xml:space="preserve">96,000</w:t>
            </w:r>
          </w:p>
        </w:tc>
      </w:tr>
      <w:tr>
        <w:tc>
          <w:tcPr/>
          <w:p>
            <w:pPr>
              <w:pStyle w:val="Compact"/>
              <w:jc w:val="left"/>
            </w:pPr>
            <w:r>
              <w:t xml:space="preserve">08</w:t>
            </w:r>
          </w:p>
        </w:tc>
        <w:tc>
          <w:tcPr/>
          <w:p>
            <w:pPr>
              <w:pStyle w:val="Compact"/>
              <w:jc w:val="left"/>
            </w:pPr>
            <w:r>
              <w:t xml:space="preserve">Office Chairs (ergonomic, leather, courtroom-grade) for Judge, clerk, and court reporter stations</w:t>
            </w:r>
          </w:p>
        </w:tc>
        <w:tc>
          <w:tcPr/>
          <w:p>
            <w:pPr>
              <w:pStyle w:val="Compact"/>
              <w:jc w:val="left"/>
            </w:pPr>
            <w:r>
              <w:t xml:space="preserve">6</w:t>
            </w:r>
          </w:p>
        </w:tc>
        <w:tc>
          <w:tcPr/>
          <w:p>
            <w:pPr>
              <w:pStyle w:val="Compact"/>
              <w:jc w:val="left"/>
            </w:pPr>
            <w:r>
              <w:t xml:space="preserve">12,800</w:t>
            </w:r>
          </w:p>
        </w:tc>
        <w:tc>
          <w:tcPr/>
          <w:p>
            <w:pPr>
              <w:pStyle w:val="Compact"/>
              <w:jc w:val="left"/>
            </w:pPr>
            <w:r>
              <w:t xml:space="preserve">76,800</w:t>
            </w:r>
          </w:p>
        </w:tc>
      </w:tr>
      <w:tr>
        <w:tc>
          <w:tcPr/>
          <w:p>
            <w:pPr>
              <w:pStyle w:val="Compact"/>
              <w:jc w:val="left"/>
            </w:pPr>
            <w:r>
              <w:t xml:space="preserve">09</w:t>
            </w:r>
          </w:p>
        </w:tc>
        <w:tc>
          <w:tcPr/>
          <w:p>
            <w:pPr>
              <w:pStyle w:val="Compact"/>
              <w:jc w:val="left"/>
            </w:pPr>
            <w:r>
              <w:t xml:space="preserve">Digital Case Management Software License (annual, 5-user, Arabic/English bilingual interface, Alexandria Court module)</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10</w:t>
            </w:r>
          </w:p>
        </w:tc>
        <w:tc>
          <w:tcPr/>
          <w:p>
            <w:pPr>
              <w:pStyle w:val="Compact"/>
              <w:jc w:val="left"/>
            </w:pPr>
            <w:r>
              <w:t xml:space="preserve">General Office Supplies (legal pads, carbon paper, envelopes, stamps, and filing materials) for one-year operational use in the Judge's office</w:t>
            </w:r>
          </w:p>
        </w:tc>
        <w:tc>
          <w:tcPr/>
          <w:p>
            <w:pPr>
              <w:pStyle w:val="Compact"/>
              <w:jc w:val="left"/>
            </w:pPr>
            <w:r>
              <w:t xml:space="preserve">1</w:t>
            </w:r>
          </w:p>
        </w:tc>
        <w:tc>
          <w:tcPr/>
          <w:p>
            <w:pPr>
              <w:pStyle w:val="Compact"/>
              <w:jc w:val="left"/>
            </w:pPr>
            <w:r>
              <w:t xml:space="preserve">22,500</w:t>
            </w:r>
          </w:p>
        </w:tc>
        <w:tc>
          <w:tcPr/>
          <w:p>
            <w:pPr>
              <w:pStyle w:val="Compact"/>
              <w:jc w:val="left"/>
            </w:pPr>
            <w:r>
              <w:t xml:space="preserve">22,500</w:t>
            </w:r>
          </w:p>
        </w:tc>
      </w:tr>
      <w:tr>
        <w:tc>
          <w:tcPr>
            <w:gridSpan w:val="4"/>
          </w:tcPr>
          <w:p>
            <w:pPr>
              <w:pStyle w:val="Compact"/>
              <w:jc w:val="left"/>
            </w:pPr>
            <w:r>
              <w:t xml:space="preserve">TOTAL PURCHASE ORDER VALUE</w:t>
            </w:r>
          </w:p>
        </w:tc>
        <w:tc>
          <w:tcPr/>
          <w:p>
            <w:pPr>
              <w:pStyle w:val="Compact"/>
              <w:jc w:val="left"/>
            </w:pPr>
            <w:r>
              <w:t xml:space="preserve">EGP 1,063,650</w:t>
            </w:r>
          </w:p>
        </w:tc>
      </w:tr>
    </w:tbl>
    <w:bookmarkEnd w:id="23"/>
    <w:bookmarkStart w:id="24" w:name="terms-and-conditions"/>
    <w:p>
      <w:pPr>
        <w:pStyle w:val="Heading2"/>
      </w:pPr>
      <w:r>
        <w:t xml:space="preserve">4. Terms and Conditions</w:t>
      </w:r>
    </w:p>
    <w:p>
      <w:pPr>
        <w:pStyle w:val="FirstParagraph"/>
      </w:pPr>
      <w:r>
        <w:rPr>
          <w:bCs/>
          <w:b/>
        </w:rPr>
        <w:t xml:space="preserve">4.1</w:t>
      </w:r>
      <w:r>
        <w:t xml:space="preserve"> </w:t>
      </w:r>
      <w:r>
        <w:t xml:space="preserve">This Purchase Order is issued under the authority of the Alexandria Court of Appeal, Egypt, and all procurement activities shall comply with the Egyptian Government Procurement Law (Law No. 182 of 2018) and its amendments.</w:t>
      </w:r>
    </w:p>
    <w:p>
      <w:pPr>
        <w:pStyle w:val="BodyText"/>
      </w:pPr>
      <w:r>
        <w:rPr>
          <w:bCs/>
          <w:b/>
        </w:rPr>
        <w:t xml:space="preserve">4.2</w:t>
      </w:r>
      <w:r>
        <w:t xml:space="preserve"> </w:t>
      </w:r>
      <w:r>
        <w:t xml:space="preserve">The supplier shall deliver all items listed in this Purchase Order to the Alexandria Judicial Complex within the timeframe specified. Late delivery shall incur a penalty of 0.5% of the total Purchase Order value per day of delay, up to a maximum of 10%.</w:t>
      </w:r>
    </w:p>
    <w:p>
      <w:pPr>
        <w:pStyle w:val="BodyText"/>
      </w:pPr>
      <w:r>
        <w:rPr>
          <w:bCs/>
          <w:b/>
        </w:rPr>
        <w:t xml:space="preserve">4.3</w:t>
      </w:r>
      <w:r>
        <w:t xml:space="preserve"> </w:t>
      </w:r>
      <w:r>
        <w:t xml:space="preserve">All furniture and equipment procured under this Purchase Order for the Judge's office must be inspected upon arrival by the designated court administrator. Acceptance is contingent upon the items meeting the quality standards and specifications outlined in the attached technical annex.</w:t>
      </w:r>
    </w:p>
    <w:p>
      <w:pPr>
        <w:pStyle w:val="BodyText"/>
      </w:pPr>
      <w:r>
        <w:rPr>
          <w:bCs/>
          <w:b/>
        </w:rPr>
        <w:t xml:space="preserve">4.4</w:t>
      </w:r>
      <w:r>
        <w:t xml:space="preserve"> </w:t>
      </w:r>
      <w:r>
        <w:t xml:space="preserve">The supplier warrants that all goods are new, free from defects, and fit for judicial use in the courts of Alexandria, Egypt. A minimum two-year warranty is required on all furniture, electronics, and equipment.</w:t>
      </w:r>
    </w:p>
    <w:p>
      <w:pPr>
        <w:pStyle w:val="BodyText"/>
      </w:pPr>
      <w:r>
        <w:rPr>
          <w:bCs/>
          <w:b/>
        </w:rPr>
        <w:t xml:space="preserve">4.5</w:t>
      </w:r>
      <w:r>
        <w:t xml:space="preserve"> </w:t>
      </w:r>
      <w:r>
        <w:t xml:space="preserve">Payment shall be processed via bank transfer to the supplier's registered account in Egypt. The Purchase Order total of EGP 1,063,650 is inclusive of all applicable taxes, duties, and delivery charges within Alexandria.</w:t>
      </w:r>
    </w:p>
    <w:p>
      <w:pPr>
        <w:pStyle w:val="BodyText"/>
      </w:pPr>
      <w:r>
        <w:rPr>
          <w:bCs/>
          <w:b/>
        </w:rPr>
        <w:t xml:space="preserve">4.6</w:t>
      </w:r>
      <w:r>
        <w:t xml:space="preserve"> </w:t>
      </w:r>
      <w:r>
        <w:t xml:space="preserve">The supplier shall provide installation, calibration, and training for all audio-visual and digital systems. Training sessions for the Judge's clerk and court staff shall be conducted at the Alexandria Judicial Complex.</w:t>
      </w:r>
    </w:p>
    <w:p>
      <w:pPr>
        <w:pStyle w:val="BodyText"/>
      </w:pPr>
      <w:r>
        <w:rPr>
          <w:bCs/>
          <w:b/>
        </w:rPr>
        <w:t xml:space="preserve">4.7</w:t>
      </w:r>
      <w:r>
        <w:t xml:space="preserve"> </w:t>
      </w:r>
      <w:r>
        <w:t xml:space="preserve">This Purchase Order is valid for acceptance within fourteen (14) calendar days from the date of issue. Failure to confirm acceptance within this period shall render this Purchase Order null and void.</w:t>
      </w:r>
    </w:p>
    <w:p>
      <w:pPr>
        <w:pStyle w:val="BodyText"/>
      </w:pPr>
      <w:r>
        <w:rPr>
          <w:bCs/>
          <w:b/>
        </w:rPr>
        <w:t xml:space="preserve">4.8</w:t>
      </w:r>
      <w:r>
        <w:t xml:space="preserve"> </w:t>
      </w:r>
      <w:r>
        <w:t xml:space="preserve">Any disputes arising from this Purchase Order shall be resolved under the jurisdiction of the courts of Alexandria, Egypt, in accordance with Egyptian law.</w:t>
      </w:r>
    </w:p>
    <w:bookmarkEnd w:id="24"/>
    <w:bookmarkStart w:id="25" w:name="authorization-and-signatures"/>
    <w:p>
      <w:pPr>
        <w:pStyle w:val="Heading2"/>
      </w:pPr>
      <w:r>
        <w:t xml:space="preserve">5. Authorization and Signatures</w:t>
      </w:r>
    </w:p>
    <w:p>
      <w:pPr>
        <w:pStyle w:val="FirstParagraph"/>
      </w:pPr>
      <w:r>
        <w:t xml:space="preserve">This Purchase Order is authorized and approved for execution by the undersigned, acting in their capacity as the presiding Judge of the Alexandria District Court, Egypt. The procurement of the above-listed items is deemed necessary for the proper and dignified functioning of the Judge's chambers and courtroom facilities.</w:t>
      </w:r>
    </w:p>
    <w:bookmarkEnd w:id="25"/>
    <w:p>
      <w:pPr>
        <w:pStyle w:val="BodyText"/>
      </w:pPr>
      <w:r>
        <w:rPr>
          <w:bCs/>
          <w:b/>
        </w:rPr>
        <w:t xml:space="preserve">Hon. Judge Mahmoud El-Sayed</w:t>
      </w:r>
      <w:r>
        <w:br/>
      </w:r>
      <w:r>
        <w:t xml:space="preserve">Presiding Judge, Alexandria District Court</w:t>
      </w:r>
      <w:r>
        <w:br/>
      </w:r>
      <w:r>
        <w:t xml:space="preserve">Date: _______________</w:t>
      </w:r>
    </w:p>
    <w:p>
      <w:pPr>
        <w:pStyle w:val="BodyText"/>
      </w:pPr>
      <w:r>
        <w:rPr>
          <w:bCs/>
          <w:b/>
        </w:rPr>
        <w:t xml:space="preserve">Mr. Tarek Hassan</w:t>
      </w:r>
      <w:r>
        <w:br/>
      </w:r>
      <w:r>
        <w:t xml:space="preserve">Procurement Manager, Supplier</w:t>
      </w:r>
      <w:r>
        <w:br/>
      </w:r>
      <w:r>
        <w:t xml:space="preserve">Date: _______________</w:t>
      </w:r>
    </w:p>
    <w:p>
      <w:pPr>
        <w:pStyle w:val="BodyText"/>
      </w:pPr>
      <w:r>
        <w:t xml:space="preserve">[Official Seal of the Alexandria Court of Appeal, Egypt to be affixed here]</w:t>
      </w:r>
    </w:p>
    <w:p>
      <w:pPr>
        <w:pStyle w:val="BodyText"/>
      </w:pPr>
      <w:r>
        <w:t xml:space="preserve">Purchase Order No. ALE-JDG-2025-04782 — Issued by the Office of the Chief Judge, Alexandria, Egypt</w:t>
      </w:r>
    </w:p>
    <w:p>
      <w:pPr>
        <w:pStyle w:val="BodyText"/>
      </w:pPr>
      <w:r>
        <w:t xml:space="preserve">This document is an official procurement record of the Egyptian Judicial Administration. Unauthorized reproduction or distribution is prohibited.</w:t>
      </w:r>
    </w:p>
    <w:p>
      <w:pPr>
        <w:pStyle w:val="BodyText"/>
      </w:pPr>
      <w:r>
        <w:t xml:space="preserve">Page 1 of 1 — End of Purchase Order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Judge's Office Supplies - Alexandria, Egypt</dc:title>
  <dc:creator/>
  <dc:language>en</dc:language>
  <cp:keywords/>
  <dcterms:created xsi:type="dcterms:W3CDTF">2026-10-10T09:17:22Z</dcterms:created>
  <dcterms:modified xsi:type="dcterms:W3CDTF">2026-10-10T09:17:22Z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