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Supplies</w:t>
      </w:r>
      <w:r>
        <w:t xml:space="preserve"> </w:t>
      </w:r>
      <w:r>
        <w:t xml:space="preserve">-</w:t>
      </w:r>
      <w:r>
        <w:t xml:space="preserve"> </w:t>
      </w:r>
      <w:r>
        <w:t xml:space="preserve">India</w:t>
      </w:r>
      <w:r>
        <w:t xml:space="preserve"> </w:t>
      </w:r>
      <w:r>
        <w:t xml:space="preserve">Mumbai</w:t>
      </w:r>
    </w:p>
    <w:bookmarkStart w:id="22" w:name="purchase-order"/>
    <w:p>
      <w:pPr>
        <w:pStyle w:val="Heading1"/>
      </w:pPr>
      <w:r>
        <w:t xml:space="preserve">PURCHASE ORDER</w:t>
      </w:r>
    </w:p>
    <w:bookmarkStart w:id="20" w:name="Xf95deab33c85859503786ead53ec4fda90fb76f"/>
    <w:p>
      <w:pPr>
        <w:pStyle w:val="Heading2"/>
      </w:pPr>
      <w:r>
        <w:t xml:space="preserve">Office of the Chief Justice, Bombay High Court</w:t>
      </w:r>
    </w:p>
    <w:bookmarkEnd w:id="20"/>
    <w:bookmarkStart w:id="21" w:name="fort-india-mumbai-400001"/>
    <w:p>
      <w:pPr>
        <w:pStyle w:val="Heading2"/>
      </w:pPr>
      <w:r>
        <w:t xml:space="preserve">Fort,</w:t>
      </w:r>
      <w:r>
        <w:t xml:space="preserve"> </w:t>
      </w:r>
      <w:r>
        <w:t xml:space="preserve">India Mumbai</w:t>
      </w:r>
      <w:r>
        <w:t xml:space="preserve"> </w:t>
      </w:r>
      <w:r>
        <w:t xml:space="preserve">– 400001</w:t>
      </w:r>
    </w:p>
    <w:p>
      <w:pPr>
        <w:pStyle w:val="FirstParagraph"/>
      </w:pPr>
      <w:r>
        <w:t xml:space="preserve">PO No.: BHC/JUD/2025/0472</w:t>
      </w:r>
    </w:p>
    <w:p>
      <w:pPr>
        <w:pStyle w:val="BodyText"/>
      </w:pPr>
      <w:r>
        <w:t xml:space="preserve">Date of Issue: 15th June 2025</w:t>
      </w:r>
    </w:p>
    <w:p>
      <w:pPr>
        <w:pStyle w:val="BodyText"/>
      </w:pPr>
      <w:r>
        <w:t xml:space="preserve">Valid Until: 15th September 2025</w:t>
      </w:r>
    </w:p>
    <w:bookmarkEnd w:id="21"/>
    <w:bookmarkEnd w:id="22"/>
    <w:bookmarkStart w:id="23" w:name="buyer-details"/>
    <w:p>
      <w:pPr>
        <w:pStyle w:val="Heading3"/>
      </w:pPr>
      <w:r>
        <w:t xml:space="preserve">1. Buyer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Bombay High Court, Judicial Procurement Division</w:t>
            </w:r>
          </w:p>
        </w:tc>
      </w:tr>
      <w:tr>
        <w:tc>
          <w:tcPr/>
          <w:p>
            <w:pPr>
              <w:pStyle w:val="Compact"/>
              <w:jc w:val="left"/>
            </w:pPr>
            <w:r>
              <w:t xml:space="preserve">Address</w:t>
            </w:r>
          </w:p>
        </w:tc>
        <w:tc>
          <w:tcPr/>
          <w:p>
            <w:pPr>
              <w:pStyle w:val="Compact"/>
              <w:jc w:val="left"/>
            </w:pPr>
            <w:r>
              <w:t xml:space="preserve">Fort,</w:t>
            </w:r>
            <w:r>
              <w:t xml:space="preserve"> </w:t>
            </w:r>
            <w:r>
              <w:t xml:space="preserve">India Mumbai</w:t>
            </w:r>
            <w:r>
              <w:t xml:space="preserve">, Maharashtra – 400001</w:t>
            </w:r>
          </w:p>
        </w:tc>
      </w:tr>
      <w:tr>
        <w:tc>
          <w:tcPr/>
          <w:p>
            <w:pPr>
              <w:pStyle w:val="Compact"/>
              <w:jc w:val="left"/>
            </w:pPr>
            <w:r>
              <w:t xml:space="preserve">Authorized Officer</w:t>
            </w:r>
          </w:p>
        </w:tc>
        <w:tc>
          <w:tcPr/>
          <w:p>
            <w:pPr>
              <w:pStyle w:val="Compact"/>
              <w:jc w:val="left"/>
            </w:pPr>
            <w:r>
              <w:t xml:space="preserve">Shri Ramesh K. Deshpande, Registrar (Administration)</w:t>
            </w:r>
          </w:p>
        </w:tc>
      </w:tr>
      <w:tr>
        <w:tc>
          <w:tcPr/>
          <w:p>
            <w:pPr>
              <w:pStyle w:val="Compact"/>
              <w:jc w:val="left"/>
            </w:pPr>
            <w:r>
              <w:t xml:space="preserve">Contact</w:t>
            </w:r>
          </w:p>
        </w:tc>
        <w:tc>
          <w:tcPr/>
          <w:p>
            <w:pPr>
              <w:pStyle w:val="Compact"/>
              <w:jc w:val="left"/>
            </w:pPr>
            <w:r>
              <w:t xml:space="preserve">procurement@bombayhighcourt.gov.in | +91-22-2282-0662</w:t>
            </w:r>
          </w:p>
        </w:tc>
      </w:tr>
      <w:tr>
        <w:tc>
          <w:tcPr/>
          <w:p>
            <w:pPr>
              <w:pStyle w:val="Compact"/>
              <w:jc w:val="left"/>
            </w:pPr>
            <w:r>
              <w:t xml:space="preserve">GSTIN</w:t>
            </w:r>
          </w:p>
        </w:tc>
        <w:tc>
          <w:tcPr/>
          <w:p>
            <w:pPr>
              <w:pStyle w:val="Compact"/>
              <w:jc w:val="left"/>
            </w:pPr>
            <w:r>
              <w:t xml:space="preserve">27AAABJ1234C1Z5</w:t>
            </w:r>
          </w:p>
        </w:tc>
      </w:tr>
    </w:tbl>
    <w:bookmarkEnd w:id="23"/>
    <w:bookmarkStart w:id="24" w:name="supplier-details"/>
    <w:p>
      <w:pPr>
        <w:pStyle w:val="Heading3"/>
      </w:pPr>
      <w:r>
        <w:t xml:space="preserve">2. Supplier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Shree Dharma Judicial Supplies Pvt. Ltd.</w:t>
            </w:r>
          </w:p>
        </w:tc>
      </w:tr>
      <w:tr>
        <w:tc>
          <w:tcPr/>
          <w:p>
            <w:pPr>
              <w:pStyle w:val="Compact"/>
              <w:jc w:val="left"/>
            </w:pPr>
            <w:r>
              <w:t xml:space="preserve">Address</w:t>
            </w:r>
          </w:p>
        </w:tc>
        <w:tc>
          <w:tcPr/>
          <w:p>
            <w:pPr>
              <w:pStyle w:val="Compact"/>
              <w:jc w:val="left"/>
            </w:pPr>
            <w:r>
              <w:t xml:space="preserve">Plot 47, Andheri East Industrial Area,</w:t>
            </w:r>
            <w:r>
              <w:t xml:space="preserve"> </w:t>
            </w:r>
            <w:r>
              <w:t xml:space="preserve">India Mumbai</w:t>
            </w:r>
            <w:r>
              <w:t xml:space="preserve">, Maharashtra – 400069</w:t>
            </w:r>
          </w:p>
        </w:tc>
      </w:tr>
      <w:tr>
        <w:tc>
          <w:tcPr/>
          <w:p>
            <w:pPr>
              <w:pStyle w:val="Compact"/>
              <w:jc w:val="left"/>
            </w:pPr>
            <w:r>
              <w:t xml:space="preserve">Authorized Representative</w:t>
            </w:r>
          </w:p>
        </w:tc>
        <w:tc>
          <w:tcPr/>
          <w:p>
            <w:pPr>
              <w:pStyle w:val="Compact"/>
              <w:jc w:val="left"/>
            </w:pPr>
            <w:r>
              <w:t xml:space="preserve">Ms. Priya Nair, Director – Sales &amp; Distribution</w:t>
            </w:r>
          </w:p>
        </w:tc>
      </w:tr>
      <w:tr>
        <w:tc>
          <w:tcPr/>
          <w:p>
            <w:pPr>
              <w:pStyle w:val="Compact"/>
              <w:jc w:val="left"/>
            </w:pPr>
            <w:r>
              <w:t xml:space="preserve">Contact</w:t>
            </w:r>
          </w:p>
        </w:tc>
        <w:tc>
          <w:tcPr/>
          <w:p>
            <w:pPr>
              <w:pStyle w:val="Compact"/>
              <w:jc w:val="left"/>
            </w:pPr>
            <w:r>
              <w:t xml:space="preserve">sales@shreedharma.in | +91-22-2834-5678</w:t>
            </w:r>
          </w:p>
        </w:tc>
      </w:tr>
      <w:tr>
        <w:tc>
          <w:tcPr/>
          <w:p>
            <w:pPr>
              <w:pStyle w:val="Compact"/>
              <w:jc w:val="left"/>
            </w:pPr>
            <w:r>
              <w:t xml:space="preserve">GSTIN</w:t>
            </w:r>
          </w:p>
        </w:tc>
        <w:tc>
          <w:tcPr/>
          <w:p>
            <w:pPr>
              <w:pStyle w:val="Compact"/>
              <w:jc w:val="left"/>
            </w:pPr>
            <w:r>
              <w:t xml:space="preserve">27AABCS9876F1Z2</w:t>
            </w:r>
          </w:p>
        </w:tc>
      </w:tr>
    </w:tbl>
    <w:bookmarkEnd w:id="24"/>
    <w:bookmarkStart w:id="25" w:name="X509d16c12745258379b763d279c1f2a699ad37b"/>
    <w:p>
      <w:pPr>
        <w:pStyle w:val="Heading3"/>
      </w:pPr>
      <w:r>
        <w:t xml:space="preserve">3. Description of Goods – Judge's Judicial Attire and Courtroom Accessories</w:t>
      </w:r>
    </w:p>
    <w:p>
      <w:pPr>
        <w:pStyle w:val="FirstParagraph"/>
      </w:pPr>
      <w:r>
        <w:t xml:space="preserve">This</w:t>
      </w:r>
      <w:r>
        <w:t xml:space="preserve"> </w:t>
      </w:r>
      <w:r>
        <w:t xml:space="preserve">Purchase Order</w:t>
      </w:r>
      <w:r>
        <w:t xml:space="preserve"> </w:t>
      </w:r>
      <w:r>
        <w:t xml:space="preserve">is issued by the Bombay High Court,</w:t>
      </w:r>
      <w:r>
        <w:t xml:space="preserve"> </w:t>
      </w:r>
      <w:r>
        <w:t xml:space="preserve">India Mumbai</w:t>
      </w:r>
      <w:r>
        <w:t xml:space="preserve">, for the procurement of judicial robes, ceremonial accessories, and courtroom furnishings specifically designated for use by the Hon'ble</w:t>
      </w:r>
      <w:r>
        <w:t xml:space="preserve"> </w:t>
      </w:r>
      <w:r>
        <w:t xml:space="preserve">Judge</w:t>
      </w:r>
      <w:r>
        <w:t xml:space="preserve"> </w:t>
      </w:r>
      <w:r>
        <w:t xml:space="preserve">and the bench. All items shall conform to the specifications prescribed under the Bombay High Court (Dress Code and Courtroom Protocol) Rules, 2019, and shall be manufactured in compliance with Indian Bureau of Standards (BIS) quality certifications.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Judge's Black Silk Robe (Full Length)</w:t>
            </w:r>
          </w:p>
        </w:tc>
        <w:tc>
          <w:tcPr/>
          <w:p>
            <w:pPr>
              <w:pStyle w:val="Compact"/>
              <w:jc w:val="left"/>
            </w:pPr>
            <w:r>
              <w:t xml:space="preserve">100% mulberry silk, black, with gold embroidery on cuffs and collar, size XL, as per Supreme Court of India pattern</w:t>
            </w:r>
          </w:p>
        </w:tc>
        <w:tc>
          <w:tcPr/>
          <w:p>
            <w:pPr>
              <w:pStyle w:val="Compact"/>
              <w:jc w:val="left"/>
            </w:pPr>
            <w:r>
              <w:t xml:space="preserve">25</w:t>
            </w:r>
          </w:p>
        </w:tc>
        <w:tc>
          <w:tcPr/>
          <w:p>
            <w:pPr>
              <w:pStyle w:val="Compact"/>
              <w:jc w:val="left"/>
            </w:pPr>
            <w:r>
              <w:t xml:space="preserve">18,500.00</w:t>
            </w:r>
          </w:p>
        </w:tc>
        <w:tc>
          <w:tcPr/>
          <w:p>
            <w:pPr>
              <w:pStyle w:val="Compact"/>
              <w:jc w:val="left"/>
            </w:pPr>
            <w:r>
              <w:t xml:space="preserve">4,62,500.00</w:t>
            </w:r>
          </w:p>
        </w:tc>
      </w:tr>
      <w:tr>
        <w:tc>
          <w:tcPr/>
          <w:p>
            <w:pPr>
              <w:pStyle w:val="Compact"/>
              <w:jc w:val="left"/>
            </w:pPr>
            <w:r>
              <w:t xml:space="preserve">2</w:t>
            </w:r>
          </w:p>
        </w:tc>
        <w:tc>
          <w:tcPr/>
          <w:p>
            <w:pPr>
              <w:pStyle w:val="Compact"/>
              <w:jc w:val="left"/>
            </w:pPr>
            <w:r>
              <w:t xml:space="preserve">Judge's Bench Gown (Ceremonial)</w:t>
            </w:r>
          </w:p>
        </w:tc>
        <w:tc>
          <w:tcPr/>
          <w:p>
            <w:pPr>
              <w:pStyle w:val="Compact"/>
              <w:jc w:val="left"/>
            </w:pPr>
            <w:r>
              <w:t xml:space="preserve">Heavy silk blend, black with crimson lining, gold thread border, for oath-taking and inaugural ceremonies</w:t>
            </w:r>
          </w:p>
        </w:tc>
        <w:tc>
          <w:tcPr/>
          <w:p>
            <w:pPr>
              <w:pStyle w:val="Compact"/>
              <w:jc w:val="left"/>
            </w:pPr>
            <w:r>
              <w:t xml:space="preserve">10</w:t>
            </w:r>
          </w:p>
        </w:tc>
        <w:tc>
          <w:tcPr/>
          <w:p>
            <w:pPr>
              <w:pStyle w:val="Compact"/>
              <w:jc w:val="left"/>
            </w:pPr>
            <w:r>
              <w:t xml:space="preserve">32,000.00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Judge's Gavel (Mahogany with Brass Fitting)</w:t>
            </w:r>
          </w:p>
        </w:tc>
        <w:tc>
          <w:tcPr/>
          <w:p>
            <w:pPr>
              <w:pStyle w:val="Compact"/>
              <w:jc w:val="left"/>
            </w:pPr>
            <w:r>
              <w:t xml:space="preserve">Indian mahogany wood, 12-inch length, brass head, engraved with court seal, with leather-wrapped handle</w:t>
            </w:r>
          </w:p>
        </w:tc>
        <w:tc>
          <w:tcPr/>
          <w:p>
            <w:pPr>
              <w:pStyle w:val="Compact"/>
              <w:jc w:val="left"/>
            </w:pPr>
            <w:r>
              <w:t xml:space="preserve">30</w:t>
            </w:r>
          </w:p>
        </w:tc>
        <w:tc>
          <w:tcPr/>
          <w:p>
            <w:pPr>
              <w:pStyle w:val="Compact"/>
              <w:jc w:val="left"/>
            </w:pPr>
            <w:r>
              <w:t xml:space="preserve">4,200.00</w:t>
            </w:r>
          </w:p>
        </w:tc>
        <w:tc>
          <w:tcPr/>
          <w:p>
            <w:pPr>
              <w:pStyle w:val="Compact"/>
              <w:jc w:val="left"/>
            </w:pPr>
            <w:r>
              <w:t xml:space="preserve">1,26,000.00</w:t>
            </w:r>
          </w:p>
        </w:tc>
      </w:tr>
      <w:tr>
        <w:tc>
          <w:tcPr/>
          <w:p>
            <w:pPr>
              <w:pStyle w:val="Compact"/>
              <w:jc w:val="left"/>
            </w:pPr>
            <w:r>
              <w:t xml:space="preserve">4</w:t>
            </w:r>
          </w:p>
        </w:tc>
        <w:tc>
          <w:tcPr/>
          <w:p>
            <w:pPr>
              <w:pStyle w:val="Compact"/>
              <w:jc w:val="left"/>
            </w:pPr>
            <w:r>
              <w:t xml:space="preserve">Judge's Wooden Sound Block</w:t>
            </w:r>
          </w:p>
        </w:tc>
        <w:tc>
          <w:tcPr/>
          <w:p>
            <w:pPr>
              <w:pStyle w:val="Compact"/>
              <w:jc w:val="left"/>
            </w:pPr>
            <w:r>
              <w:t xml:space="preserve">Matching mahogany, 8-inch diameter, with brass inlay of Bombay High Court emblem</w:t>
            </w:r>
          </w:p>
        </w:tc>
        <w:tc>
          <w:tcPr/>
          <w:p>
            <w:pPr>
              <w:pStyle w:val="Compact"/>
              <w:jc w:val="left"/>
            </w:pPr>
            <w:r>
              <w:t xml:space="preserve">30</w:t>
            </w:r>
          </w:p>
        </w:tc>
        <w:tc>
          <w:tcPr/>
          <w:p>
            <w:pPr>
              <w:pStyle w:val="Compact"/>
              <w:jc w:val="left"/>
            </w:pPr>
            <w:r>
              <w:t xml:space="preserve">2,800.00</w:t>
            </w:r>
          </w:p>
        </w:tc>
        <w:tc>
          <w:tcPr/>
          <w:p>
            <w:pPr>
              <w:pStyle w:val="Compact"/>
              <w:jc w:val="left"/>
            </w:pPr>
            <w:r>
              <w:t xml:space="preserve">84,000.00</w:t>
            </w:r>
          </w:p>
        </w:tc>
      </w:tr>
      <w:tr>
        <w:tc>
          <w:tcPr/>
          <w:p>
            <w:pPr>
              <w:pStyle w:val="Compact"/>
              <w:jc w:val="left"/>
            </w:pPr>
            <w:r>
              <w:t xml:space="preserve">5</w:t>
            </w:r>
          </w:p>
        </w:tc>
        <w:tc>
          <w:tcPr/>
          <w:p>
            <w:pPr>
              <w:pStyle w:val="Compact"/>
              <w:jc w:val="left"/>
            </w:pPr>
            <w:r>
              <w:t xml:space="preserve">Judge's Seal and Stamp Set</w:t>
            </w:r>
          </w:p>
        </w:tc>
        <w:tc>
          <w:tcPr/>
          <w:p>
            <w:pPr>
              <w:pStyle w:val="Compact"/>
              <w:jc w:val="left"/>
            </w:pPr>
            <w:r>
              <w:t xml:space="preserve">Brass seal with intaglio of court emblem, leather case, with 500 pre-inked rubber stamps</w:t>
            </w:r>
          </w:p>
        </w:tc>
        <w:tc>
          <w:tcPr/>
          <w:p>
            <w:pPr>
              <w:pStyle w:val="Compact"/>
              <w:jc w:val="left"/>
            </w:pPr>
            <w:r>
              <w:t xml:space="preserve">15</w:t>
            </w:r>
          </w:p>
        </w:tc>
        <w:tc>
          <w:tcPr/>
          <w:p>
            <w:pPr>
              <w:pStyle w:val="Compact"/>
              <w:jc w:val="left"/>
            </w:pPr>
            <w:r>
              <w:t xml:space="preserve">6,500.00</w:t>
            </w:r>
          </w:p>
        </w:tc>
        <w:tc>
          <w:tcPr/>
          <w:p>
            <w:pPr>
              <w:pStyle w:val="Compact"/>
              <w:jc w:val="left"/>
            </w:pPr>
            <w:r>
              <w:t xml:space="preserve">97,500.00</w:t>
            </w:r>
          </w:p>
        </w:tc>
      </w:tr>
      <w:tr>
        <w:tc>
          <w:tcPr/>
          <w:p>
            <w:pPr>
              <w:pStyle w:val="Compact"/>
              <w:jc w:val="left"/>
            </w:pPr>
            <w:r>
              <w:t xml:space="preserve">6</w:t>
            </w:r>
          </w:p>
        </w:tc>
        <w:tc>
          <w:tcPr/>
          <w:p>
            <w:pPr>
              <w:pStyle w:val="Compact"/>
              <w:jc w:val="left"/>
            </w:pPr>
            <w:r>
              <w:t xml:space="preserve">Judge's Bench Chair (Executive)</w:t>
            </w:r>
          </w:p>
        </w:tc>
        <w:tc>
          <w:tcPr/>
          <w:p>
            <w:pPr>
              <w:pStyle w:val="Compact"/>
              <w:jc w:val="left"/>
            </w:pPr>
            <w:r>
              <w:t xml:space="preserve">Upholstered in black leather, solid teak wood frame, adjustable height, with armrests, as per court furniture standard</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7</w:t>
            </w:r>
          </w:p>
        </w:tc>
        <w:tc>
          <w:tcPr/>
          <w:p>
            <w:pPr>
              <w:pStyle w:val="Compact"/>
              <w:jc w:val="left"/>
            </w:pPr>
            <w:r>
              <w:t xml:space="preserve">Judge's Desk (Courtroom Bench Table)</w:t>
            </w:r>
          </w:p>
        </w:tc>
        <w:tc>
          <w:tcPr/>
          <w:p>
            <w:pPr>
              <w:pStyle w:val="Compact"/>
              <w:jc w:val="left"/>
            </w:pPr>
            <w:r>
              <w:t xml:space="preserve">Polished Indian rosewood, 6 ft x 3 ft, with built-in document tray, cable management, and brass fittings</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8</w:t>
            </w:r>
          </w:p>
        </w:tc>
        <w:tc>
          <w:tcPr/>
          <w:p>
            <w:pPr>
              <w:pStyle w:val="Compact"/>
              <w:jc w:val="left"/>
            </w:pPr>
            <w:r>
              <w:t xml:space="preserve">Judge's Collar Band (White Silk)</w:t>
            </w:r>
          </w:p>
        </w:tc>
        <w:tc>
          <w:tcPr/>
          <w:p>
            <w:pPr>
              <w:pStyle w:val="Compact"/>
              <w:jc w:val="left"/>
            </w:pPr>
            <w:r>
              <w:t xml:space="preserve">Pure white silk, 3-inch width, with gold piping, for formal judicial proceedings</w:t>
            </w:r>
          </w:p>
        </w:tc>
        <w:tc>
          <w:tcPr/>
          <w:p>
            <w:pPr>
              <w:pStyle w:val="Compact"/>
              <w:jc w:val="left"/>
            </w:pPr>
            <w:r>
              <w:t xml:space="preserve">50</w:t>
            </w:r>
          </w:p>
        </w:tc>
        <w:tc>
          <w:tcPr/>
          <w:p>
            <w:pPr>
              <w:pStyle w:val="Compact"/>
              <w:jc w:val="left"/>
            </w:pPr>
            <w:r>
              <w:t xml:space="preserve">1,200.00</w:t>
            </w:r>
          </w:p>
        </w:tc>
        <w:tc>
          <w:tcPr/>
          <w:p>
            <w:pPr>
              <w:pStyle w:val="Compact"/>
              <w:jc w:val="left"/>
            </w:pPr>
            <w:r>
              <w:t xml:space="preserve">60,000.00</w:t>
            </w:r>
          </w:p>
        </w:tc>
      </w:tr>
      <w:tr>
        <w:tc>
          <w:tcPr>
            <w:gridSpan w:val="5"/>
          </w:tcPr>
          <w:p>
            <w:pPr>
              <w:pStyle w:val="Compact"/>
              <w:jc w:val="right"/>
            </w:pPr>
            <w:r>
              <w:t xml:space="preserve">GRAND TOTAL (Inclusive of 18% GST)</w:t>
            </w:r>
          </w:p>
        </w:tc>
        <w:tc>
          <w:tcPr/>
          <w:p>
            <w:pPr>
              <w:pStyle w:val="Compact"/>
              <w:jc w:val="left"/>
            </w:pPr>
            <w:r>
              <w:t xml:space="preserve">27,10,000.00</w:t>
            </w:r>
          </w:p>
        </w:tc>
      </w:tr>
    </w:tbl>
    <w:bookmarkEnd w:id="25"/>
    <w:bookmarkStart w:id="26" w:name="delivery-terms"/>
    <w:p>
      <w:pPr>
        <w:pStyle w:val="Heading3"/>
      </w:pPr>
      <w:r>
        <w:t xml:space="preserve">4. Delivery Terms</w:t>
      </w:r>
    </w:p>
    <w:p>
      <w:pPr>
        <w:pStyle w:val="FirstParagraph"/>
      </w:pPr>
      <w:r>
        <w:t xml:space="preserve">All goods specified in this</w:t>
      </w:r>
      <w:r>
        <w:t xml:space="preserve"> </w:t>
      </w:r>
      <w:r>
        <w:t xml:space="preserve">Purchase Order</w:t>
      </w:r>
      <w:r>
        <w:t xml:space="preserve"> </w:t>
      </w:r>
      <w:r>
        <w:t xml:space="preserve">shall be delivered to the Bombay High Court premises, Fort,</w:t>
      </w:r>
      <w:r>
        <w:t xml:space="preserve"> </w:t>
      </w:r>
      <w:r>
        <w:t xml:space="preserve">India Mumbai</w:t>
      </w:r>
      <w:r>
        <w:t xml:space="preserve">, within thirty (30) calendar days from the date of this order. Delivery shall be made between 09:00 AM and 04:00 PM on working days. The supplier shall bear all costs of transportation, insurance, and packaging. Each item shall be individually labeled with the</w:t>
      </w:r>
      <w:r>
        <w:t xml:space="preserve"> </w:t>
      </w:r>
      <w:r>
        <w:t xml:space="preserve">Judge</w:t>
      </w:r>
      <w:r>
        <w:t xml:space="preserve">'s name, designation, and courtroom number as directed by the Registrar (Administration). Partial deliveries are not permitted unless expressly authorized in writing by the Buyer.</w:t>
      </w:r>
    </w:p>
    <w:bookmarkEnd w:id="26"/>
    <w:bookmarkStart w:id="27" w:name="payment-terms"/>
    <w:p>
      <w:pPr>
        <w:pStyle w:val="Heading3"/>
      </w:pPr>
      <w:r>
        <w:t xml:space="preserve">5. Payment Terms</w:t>
      </w:r>
    </w:p>
    <w:p>
      <w:pPr>
        <w:pStyle w:val="FirstParagraph"/>
      </w:pPr>
      <w:r>
        <w:t xml:space="preserve">Payment shall be made via RTGS/NEFT to the supplier's designated bank account within forty-five (45) days of successful delivery and acceptance of goods. The Buyer shall withhold a retention sum of ten percent (10%) until the expiry of the defect liability period of one hundred and eighty (180) days. All invoices must reference this</w:t>
      </w:r>
      <w:r>
        <w:t xml:space="preserve"> </w:t>
      </w:r>
      <w:r>
        <w:t xml:space="preserve">Purchase Order</w:t>
      </w:r>
      <w:r>
        <w:t xml:space="preserve"> </w:t>
      </w:r>
      <w:r>
        <w:t xml:space="preserve">number (BHC/JUD/2025/0472) and shall be accompanied by a valid GST tax invoice, delivery challan, and certificate of conformity. No payment shall be processed without a signed Goods Received Note (GRN) from the receiving authority at the</w:t>
      </w:r>
      <w:r>
        <w:t xml:space="preserve"> </w:t>
      </w:r>
      <w:r>
        <w:t xml:space="preserve">India Mumbai</w:t>
      </w:r>
      <w:r>
        <w:t xml:space="preserve"> </w:t>
      </w:r>
      <w:r>
        <w:t xml:space="preserve">court complex.</w:t>
      </w:r>
    </w:p>
    <w:bookmarkEnd w:id="27"/>
    <w:bookmarkStart w:id="28" w:name="terms-and-conditions"/>
    <w:p>
      <w:pPr>
        <w:pStyle w:val="Heading3"/>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India and shall be subject to the jurisdiction of the courts in</w:t>
      </w:r>
      <w:r>
        <w:t xml:space="preserve"> </w:t>
      </w:r>
      <w:r>
        <w:t xml:space="preserve">India Mumbai</w:t>
      </w:r>
      <w:r>
        <w:t xml:space="preserve">, Maharashtra.</w:t>
      </w:r>
    </w:p>
    <w:p>
      <w:pPr>
        <w:numPr>
          <w:ilvl w:val="0"/>
          <w:numId w:val="1001"/>
        </w:numPr>
        <w:pStyle w:val="Compact"/>
      </w:pPr>
      <w:r>
        <w:t xml:space="preserve">All</w:t>
      </w:r>
      <w:r>
        <w:t xml:space="preserve"> </w:t>
      </w:r>
      <w:r>
        <w:t xml:space="preserve">Judge</w:t>
      </w:r>
      <w:r>
        <w:t xml:space="preserve">'s robes and ceremonial garments shall be inspected by the Court's designated quality officer prior to acceptance. Any item found to be defective, of inferior quality, or not conforming to the prescribed specifications shall be rejected at the supplier's sole cost.</w:t>
      </w:r>
    </w:p>
    <w:p>
      <w:pPr>
        <w:numPr>
          <w:ilvl w:val="0"/>
          <w:numId w:val="1001"/>
        </w:numPr>
        <w:pStyle w:val="Compact"/>
      </w:pPr>
      <w:r>
        <w:t xml:space="preserve">The supplier warrants that all goods are new, unused, and free from any encumbrance. The supplier shall provide a minimum warranty of two (2) years on furniture items and one (1) year on textile and accessory items.</w:t>
      </w:r>
    </w:p>
    <w:p>
      <w:pPr>
        <w:numPr>
          <w:ilvl w:val="0"/>
          <w:numId w:val="1001"/>
        </w:numPr>
        <w:pStyle w:val="Compact"/>
      </w:pPr>
      <w:r>
        <w:t xml:space="preserve">The supplier shall comply with all applicable labour laws of India, including the Factories Act, 1948, and the Minimum Wages Act, 1948, in the manufacture and supply of goods.</w:t>
      </w:r>
    </w:p>
    <w:p>
      <w:pPr>
        <w:numPr>
          <w:ilvl w:val="0"/>
          <w:numId w:val="1001"/>
        </w:numPr>
        <w:pStyle w:val="Compact"/>
      </w:pPr>
      <w:r>
        <w:t xml:space="preserve">Any dispute arising out of or in connection with this</w:t>
      </w:r>
      <w:r>
        <w:t xml:space="preserve"> </w:t>
      </w:r>
      <w:r>
        <w:t xml:space="preserve">Purchase Order</w:t>
      </w:r>
      <w:r>
        <w:t xml:space="preserve"> </w:t>
      </w:r>
      <w:r>
        <w:t xml:space="preserve">shall be resolved by arbitration in</w:t>
      </w:r>
      <w:r>
        <w:t xml:space="preserve"> </w:t>
      </w:r>
      <w:r>
        <w:t xml:space="preserve">India Mumbai</w:t>
      </w:r>
      <w:r>
        <w:t xml:space="preserve"> </w:t>
      </w:r>
      <w:r>
        <w:t xml:space="preserve">in accordance with the Arbitration and Conciliation Act, 1996, as amended.</w:t>
      </w:r>
    </w:p>
    <w:p>
      <w:pPr>
        <w:numPr>
          <w:ilvl w:val="0"/>
          <w:numId w:val="1001"/>
        </w:numPr>
        <w:pStyle w:val="Compact"/>
      </w:pPr>
      <w:r>
        <w:t xml:space="preserve">The Buyer reserves the right to cancel, modify, or amend this</w:t>
      </w:r>
      <w:r>
        <w:t xml:space="preserve"> </w:t>
      </w:r>
      <w:r>
        <w:t xml:space="preserve">Purchase Order</w:t>
      </w:r>
      <w:r>
        <w:t xml:space="preserve"> </w:t>
      </w:r>
      <w:r>
        <w:t xml:space="preserve">in whole or in part at any time prior to dispatch, without incurring any liability to the supplier.</w:t>
      </w:r>
    </w:p>
    <w:p>
      <w:pPr>
        <w:numPr>
          <w:ilvl w:val="0"/>
          <w:numId w:val="1001"/>
        </w:numPr>
        <w:pStyle w:val="Compact"/>
      </w:pPr>
      <w:r>
        <w:t xml:space="preserve">The supplier shall maintain complete confidentiality regarding the identity and designation of the</w:t>
      </w:r>
      <w:r>
        <w:t xml:space="preserve"> </w:t>
      </w:r>
      <w:r>
        <w:t xml:space="preserve">Judge</w:t>
      </w:r>
      <w:r>
        <w:t xml:space="preserve"> </w:t>
      </w:r>
      <w:r>
        <w:t xml:space="preserve">for whom specific items are procured, in accordance with the Official Secrets Act, 1923, and court protocol regulations.</w:t>
      </w:r>
    </w:p>
    <w:p>
      <w:pPr>
        <w:numPr>
          <w:ilvl w:val="0"/>
          <w:numId w:val="1001"/>
        </w:numPr>
        <w:pStyle w:val="Compact"/>
      </w:pPr>
      <w:r>
        <w:t xml:space="preserve">Force majeure events, including but not limited to natural disasters, government-imposed lockdowns, or acts of war, shall extend the delivery timeline proportionally, subject to written notification within forty-eight (48) hours of the event.</w:t>
      </w:r>
    </w:p>
    <w:p>
      <w:pPr>
        <w:numPr>
          <w:ilvl w:val="0"/>
          <w:numId w:val="1001"/>
        </w:numPr>
        <w:pStyle w:val="Compact"/>
      </w:pPr>
      <w:r>
        <w:t xml:space="preserve">All goods shall be packaged in secure, moisture-proof containers suitable for long-term storage. Textile items shall be packed in acid-free tissue paper within rigid cardboard boxes.</w:t>
      </w:r>
    </w:p>
    <w:p>
      <w:pPr>
        <w:numPr>
          <w:ilvl w:val="0"/>
          <w:numId w:val="1001"/>
        </w:numPr>
        <w:pStyle w:val="Compact"/>
      </w:pPr>
      <w:r>
        <w:t xml:space="preserve">The supplier shall provide a detailed packing list and a certificate of origin for each consignment delivered to the</w:t>
      </w:r>
      <w:r>
        <w:t xml:space="preserve"> </w:t>
      </w:r>
      <w:r>
        <w:t xml:space="preserve">India Mumbai</w:t>
      </w:r>
      <w:r>
        <w:t xml:space="preserve"> </w:t>
      </w:r>
      <w:r>
        <w:t xml:space="preserve">court premises.</w:t>
      </w:r>
    </w:p>
    <w:bookmarkEnd w:id="28"/>
    <w:bookmarkStart w:id="29" w:name="acceptance-and-authorization"/>
    <w:p>
      <w:pPr>
        <w:pStyle w:val="Heading3"/>
      </w:pPr>
      <w:r>
        <w:t xml:space="preserve">7. Acceptance and Authorization</w:t>
      </w:r>
    </w:p>
    <w:p>
      <w:pPr>
        <w:pStyle w:val="FirstParagraph"/>
      </w:pPr>
      <w:r>
        <w:t xml:space="preserve">This</w:t>
      </w:r>
      <w:r>
        <w:t xml:space="preserve"> </w:t>
      </w:r>
      <w:r>
        <w:t xml:space="preserve">Purchase Order</w:t>
      </w:r>
      <w:r>
        <w:t xml:space="preserve"> </w:t>
      </w:r>
      <w:r>
        <w:t xml:space="preserve">is issued under the authority of the Registrar (Administration), Bombay High Court,</w:t>
      </w:r>
      <w:r>
        <w:t xml:space="preserve"> </w:t>
      </w:r>
      <w:r>
        <w:t xml:space="preserve">India Mumbai</w:t>
      </w:r>
      <w:r>
        <w:t xml:space="preserve">, and is binding upon both parties upon signature. The supplier's acceptance of this order shall be confirmed in writing within seven (7) working days of receipt. Failure to confirm within the stipulated period shall be construed as a rejection of this</w:t>
      </w:r>
      <w:r>
        <w:t xml:space="preserve"> </w:t>
      </w:r>
      <w:r>
        <w:t xml:space="preserve">Purchase Order</w:t>
      </w:r>
      <w:r>
        <w:t xml:space="preserve">.</w:t>
      </w:r>
    </w:p>
    <w:bookmarkEnd w:id="29"/>
    <w:p>
      <w:pPr>
        <w:pStyle w:val="BodyText"/>
      </w:pPr>
      <w:r>
        <w:rPr>
          <w:bCs/>
          <w:b/>
        </w:rPr>
        <w:t xml:space="preserve">For and on behalf of the Buyer</w:t>
      </w:r>
      <w:r>
        <w:br/>
      </w:r>
      <w:r>
        <w:t xml:space="preserve">Shri Ramesh K. Deshpande</w:t>
      </w:r>
      <w:r>
        <w:br/>
      </w:r>
      <w:r>
        <w:t xml:space="preserve">Registrar (Administration)</w:t>
      </w:r>
      <w:r>
        <w:br/>
      </w:r>
      <w:r>
        <w:t xml:space="preserve">Bombay High Court,</w:t>
      </w:r>
      <w:r>
        <w:t xml:space="preserve"> </w:t>
      </w:r>
      <w:r>
        <w:t xml:space="preserve">India Mumbai</w:t>
      </w:r>
      <w:r>
        <w:br/>
      </w:r>
      <w:r>
        <w:t xml:space="preserve">Date: _______________</w:t>
      </w:r>
    </w:p>
    <w:p>
      <w:pPr>
        <w:pStyle w:val="BodyText"/>
      </w:pPr>
      <w:r>
        <w:rPr>
          <w:bCs/>
          <w:b/>
        </w:rPr>
        <w:t xml:space="preserve">For and on behalf of the Supplier</w:t>
      </w:r>
      <w:r>
        <w:br/>
      </w:r>
      <w:r>
        <w:t xml:space="preserve">Ms. Priya Nair</w:t>
      </w:r>
      <w:r>
        <w:br/>
      </w:r>
      <w:r>
        <w:t xml:space="preserve">Director – Sales &amp; Distribution</w:t>
      </w:r>
      <w:r>
        <w:br/>
      </w:r>
      <w:r>
        <w:t xml:space="preserve">Shree Dharma Judicial Supplies Pvt. Ltd.</w:t>
      </w:r>
      <w:r>
        <w:br/>
      </w:r>
      <w:r>
        <w:t xml:space="preserve">India Mumbai</w:t>
      </w:r>
      <w:r>
        <w:br/>
      </w:r>
      <w:r>
        <w:t xml:space="preserve">Date: _______________</w:t>
      </w:r>
    </w:p>
    <w:p>
      <w:pPr>
        <w:pStyle w:val="BodyText"/>
      </w:pPr>
      <w:r>
        <w:t xml:space="preserve">[Official Seal of the Bombay High Court, India Mumbai to be affixed here]</w:t>
      </w:r>
    </w:p>
    <w:p>
      <w:pPr>
        <w:pStyle w:val="BodyText"/>
      </w:pPr>
      <w:r>
        <w:t xml:space="preserve">This</w:t>
      </w:r>
      <w:r>
        <w:t xml:space="preserve"> </w:t>
      </w:r>
      <w:r>
        <w:t xml:space="preserve">Purchase Order</w:t>
      </w:r>
      <w:r>
        <w:t xml:space="preserve"> </w:t>
      </w:r>
      <w:r>
        <w:t xml:space="preserve">(BHC/JUD/2025/0472) is a controlled document issued by the Judicial Procurement Division, Bombay High Court, Fort,</w:t>
      </w:r>
      <w:r>
        <w:t xml:space="preserve"> </w:t>
      </w:r>
      <w:r>
        <w:t xml:space="preserve">India Mumbai</w:t>
      </w:r>
      <w:r>
        <w:t xml:space="preserve"> </w:t>
      </w:r>
      <w:r>
        <w:t xml:space="preserve">– 400001. Unauthorized reproduction or distribution is prohibited. For queries, contact the Procurement Cell at procurement@bombayhighcourt.gov.in.</w:t>
      </w:r>
    </w:p>
    <w:p>
      <w:pPr>
        <w:pStyle w:val="BodyText"/>
      </w:pPr>
      <w:r>
        <w:t xml:space="preserve">Page 1 of 1 | Document Classification: Official – Restricted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Supplies - India Mumbai</dc:title>
  <dc:creator/>
  <dc:language>en</dc:language>
  <cp:keywords/>
  <dcterms:created xsi:type="dcterms:W3CDTF">2026-10-10T06:54:46Z</dcterms:created>
  <dcterms:modified xsi:type="dcterms:W3CDTF">2026-10-10T06:54:46Z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