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Official Procurement Document — Republic of Indonesia, Special Capital Region of Jakarta</w:t>
      </w:r>
    </w:p>
    <w:p>
      <w:pPr>
        <w:pStyle w:val="BodyText"/>
      </w:pPr>
      <w:r>
        <w:t xml:space="preserve">PO No: PO-JKT-2025-04782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Indonesian Rupiah (IDR)</w:t>
      </w:r>
    </w:p>
    <w:p>
      <w:pPr>
        <w:pStyle w:val="BodyText"/>
      </w:pPr>
      <w:r>
        <w:rPr>
          <w:bCs/>
          <w:b/>
        </w:rPr>
        <w:t xml:space="preserve">Delivery Location:</w:t>
      </w:r>
      <w:r>
        <w:t xml:space="preserve"> </w:t>
      </w:r>
      <w:r>
        <w:t xml:space="preserve">Jakarta, Indonesia</w:t>
      </w:r>
      <w:r>
        <w:br/>
      </w:r>
      <w:r>
        <w:rPr>
          <w:bCs/>
          <w:b/>
        </w:rPr>
        <w:t xml:space="preserve">Priority:</w:t>
      </w:r>
      <w:r>
        <w:t xml:space="preserve"> </w:t>
      </w:r>
      <w:r>
        <w:t xml:space="preserve">Standard</w:t>
      </w:r>
      <w:r>
        <w:br/>
      </w:r>
      <w:r>
        <w:rPr>
          <w:bCs/>
          <w:b/>
        </w:rPr>
        <w:t xml:space="preserve">Reference:</w:t>
      </w:r>
      <w:r>
        <w:t xml:space="preserve"> </w:t>
      </w:r>
      <w:r>
        <w:t xml:space="preserve">JKT-EVT-2025-Q3</w:t>
      </w:r>
    </w:p>
    <w:p>
      <w:pPr>
        <w:pStyle w:val="BodyText"/>
      </w:pPr>
      <w:r>
        <w:t xml:space="preserve">1. BUYER INFORMATION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Nusantara Event Management &amp; Competition Authority (NEMCA)</w:t>
            </w:r>
          </w:p>
        </w:tc>
      </w:tr>
      <w:tr>
        <w:tc>
          <w:tcPr/>
          <w:p>
            <w:pPr>
              <w:pStyle w:val="Compact"/>
              <w:jc w:val="left"/>
            </w:pPr>
            <w:r>
              <w:rPr>
                <w:bCs/>
                <w:b/>
              </w:rPr>
              <w:t xml:space="preserve">Address:</w:t>
            </w:r>
          </w:p>
        </w:tc>
        <w:tc>
          <w:tcPr/>
          <w:p>
            <w:pPr>
              <w:pStyle w:val="Compact"/>
              <w:jc w:val="left"/>
            </w:pPr>
            <w:r>
              <w:t xml:space="preserve">Jl. Jend. Sudirman Kav. 52-53, SCBD District, Jakarta Selatan, DKI Jakarta 12190, Indonesia</w:t>
            </w:r>
          </w:p>
        </w:tc>
      </w:tr>
      <w:tr>
        <w:tc>
          <w:tcPr/>
          <w:p>
            <w:pPr>
              <w:pStyle w:val="Compact"/>
              <w:jc w:val="left"/>
            </w:pPr>
            <w:r>
              <w:rPr>
                <w:bCs/>
                <w:b/>
              </w:rPr>
              <w:t xml:space="preserve">Tax ID (NPWP):</w:t>
            </w:r>
          </w:p>
        </w:tc>
        <w:tc>
          <w:tcPr/>
          <w:p>
            <w:pPr>
              <w:pStyle w:val="Compact"/>
              <w:jc w:val="left"/>
            </w:pPr>
            <w:r>
              <w:t xml:space="preserve">02.456.789.0-411.000</w:t>
            </w:r>
          </w:p>
        </w:tc>
      </w:tr>
      <w:tr>
        <w:tc>
          <w:tcPr/>
          <w:p>
            <w:pPr>
              <w:pStyle w:val="Compact"/>
              <w:jc w:val="left"/>
            </w:pPr>
            <w:r>
              <w:rPr>
                <w:bCs/>
                <w:b/>
              </w:rPr>
              <w:t xml:space="preserve">Contact Person:</w:t>
            </w:r>
          </w:p>
        </w:tc>
        <w:tc>
          <w:tcPr/>
          <w:p>
            <w:pPr>
              <w:pStyle w:val="Compact"/>
              <w:jc w:val="left"/>
            </w:pPr>
            <w:r>
              <w:t xml:space="preserve">Budi Santoso, Procurement Officer</w:t>
            </w:r>
          </w:p>
        </w:tc>
      </w:tr>
      <w:tr>
        <w:tc>
          <w:tcPr/>
          <w:p>
            <w:pPr>
              <w:pStyle w:val="Compact"/>
              <w:jc w:val="left"/>
            </w:pPr>
            <w:r>
              <w:rPr>
                <w:bCs/>
                <w:b/>
              </w:rPr>
              <w:t xml:space="preserve">Email / Phone:</w:t>
            </w:r>
          </w:p>
        </w:tc>
        <w:tc>
          <w:tcPr/>
          <w:p>
            <w:pPr>
              <w:pStyle w:val="Compact"/>
              <w:jc w:val="left"/>
            </w:pPr>
            <w:r>
              <w:t xml:space="preserve">procurement@nemca.co.id / +62-21-5550-8821</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Judge Systems International Pte. Ltd.</w:t>
            </w:r>
          </w:p>
        </w:tc>
      </w:tr>
      <w:tr>
        <w:tc>
          <w:tcPr/>
          <w:p>
            <w:pPr>
              <w:pStyle w:val="Compact"/>
              <w:jc w:val="left"/>
            </w:pPr>
            <w:r>
              <w:rPr>
                <w:bCs/>
                <w:b/>
              </w:rPr>
              <w:t xml:space="preserve">Address:</w:t>
            </w:r>
          </w:p>
        </w:tc>
        <w:tc>
          <w:tcPr/>
          <w:p>
            <w:pPr>
              <w:pStyle w:val="Compact"/>
              <w:jc w:val="left"/>
            </w:pPr>
            <w:r>
              <w:t xml:space="preserve">12 Marina Boulevard, Level 28, Marina Bay Financial Centre, Singapore 018982</w:t>
            </w:r>
          </w:p>
        </w:tc>
      </w:tr>
      <w:tr>
        <w:tc>
          <w:tcPr/>
          <w:p>
            <w:pPr>
              <w:pStyle w:val="Compact"/>
              <w:jc w:val="left"/>
            </w:pPr>
            <w:r>
              <w:rPr>
                <w:bCs/>
                <w:b/>
              </w:rPr>
              <w:t xml:space="preserve">Tax / VAT ID:</w:t>
            </w:r>
          </w:p>
        </w:tc>
        <w:tc>
          <w:tcPr/>
          <w:p>
            <w:pPr>
              <w:pStyle w:val="Compact"/>
              <w:jc w:val="left"/>
            </w:pPr>
            <w:r>
              <w:t xml:space="preserve">SG-2019-44556677</w:t>
            </w:r>
          </w:p>
        </w:tc>
      </w:tr>
      <w:tr>
        <w:tc>
          <w:tcPr/>
          <w:p>
            <w:pPr>
              <w:pStyle w:val="Compact"/>
              <w:jc w:val="left"/>
            </w:pPr>
            <w:r>
              <w:rPr>
                <w:bCs/>
                <w:b/>
              </w:rPr>
              <w:t xml:space="preserve">Contact Person:</w:t>
            </w:r>
          </w:p>
        </w:tc>
        <w:tc>
          <w:tcPr/>
          <w:p>
            <w:pPr>
              <w:pStyle w:val="Compact"/>
              <w:jc w:val="left"/>
            </w:pPr>
            <w:r>
              <w:t xml:space="preserve">Lim Wei Jie, Regional Sales Director – Southeast Asia</w:t>
            </w:r>
          </w:p>
        </w:tc>
      </w:tr>
      <w:tr>
        <w:tc>
          <w:tcPr/>
          <w:p>
            <w:pPr>
              <w:pStyle w:val="Compact"/>
              <w:jc w:val="left"/>
            </w:pPr>
            <w:r>
              <w:rPr>
                <w:bCs/>
                <w:b/>
              </w:rPr>
              <w:t xml:space="preserve">Email / Phone:</w:t>
            </w:r>
          </w:p>
        </w:tc>
        <w:tc>
          <w:tcPr/>
          <w:p>
            <w:pPr>
              <w:pStyle w:val="Compact"/>
              <w:jc w:val="left"/>
            </w:pPr>
            <w:r>
              <w:t xml:space="preserve">wj.lim@globaljudgesys.com / +65-6888-3344</w:t>
            </w:r>
          </w:p>
        </w:tc>
      </w:tr>
    </w:tbl>
    <w:p>
      <w:pPr>
        <w:pStyle w:val="BodyText"/>
      </w:pPr>
      <w:r>
        <w:t xml:space="preserve">3. DESCRIPTION OF GOODS / SERVICES — JUDGE SYSTEM PACKAGE</w:t>
      </w:r>
    </w:p>
    <w:p>
      <w:pPr>
        <w:pStyle w:val="BodyText"/>
      </w:pPr>
      <w:r>
        <w:t xml:space="preserve">This Purchase Order is issued by Nusantara Event Management &amp; Competition Authority (NEMCA), headquartered in Jakarta, Indonesia, to procure a complete</w:t>
      </w:r>
      <w:r>
        <w:t xml:space="preserve"> </w:t>
      </w:r>
      <w:r>
        <w:rPr>
          <w:bCs/>
          <w:b/>
        </w:rPr>
        <w:t xml:space="preserve">Judge</w:t>
      </w:r>
      <w:r>
        <w:t xml:space="preserve"> </w:t>
      </w:r>
      <w:r>
        <w:t xml:space="preserve">evaluation and scoring system for the upcoming 2025 National Multi-Sport Competition to be held at the Gelora Bung Karno Complex, Jakarta, Indonesia. The</w:t>
      </w:r>
      <w:r>
        <w:t xml:space="preserve"> </w:t>
      </w:r>
      <w:r>
        <w:rPr>
          <w:bCs/>
          <w:b/>
        </w:rPr>
        <w:t xml:space="preserve">Judge</w:t>
      </w:r>
      <w:r>
        <w:t xml:space="preserve"> </w:t>
      </w:r>
      <w:r>
        <w:t xml:space="preserve">system encompasses all hardware, software, calibration tools, and professional installation services required to ensure fair, transparent, and real-time adjudication across all competition categories.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rPr>
                <w:bCs/>
                <w:b/>
              </w:rPr>
              <w:t xml:space="preserve">Judge</w:t>
            </w:r>
            <w:r>
              <w:t xml:space="preserve"> </w:t>
            </w:r>
            <w:r>
              <w:t xml:space="preserve">Digital Scoring Panel – Model JX-900 Pro (15-inch touchscreen, IP65 rated, wireless connectivity, multi-language interface including Bahasa Indonesia)</w:t>
            </w:r>
          </w:p>
        </w:tc>
        <w:tc>
          <w:tcPr/>
          <w:p>
            <w:pPr>
              <w:pStyle w:val="Compact"/>
              <w:jc w:val="left"/>
            </w:pPr>
            <w:r>
              <w:t xml:space="preserve">24</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1,164,000,000</w:t>
            </w:r>
          </w:p>
        </w:tc>
      </w:tr>
      <w:tr>
        <w:tc>
          <w:tcPr/>
          <w:p>
            <w:pPr>
              <w:pStyle w:val="Compact"/>
              <w:jc w:val="left"/>
            </w:pPr>
            <w:r>
              <w:t xml:space="preserve">2</w:t>
            </w:r>
          </w:p>
        </w:tc>
        <w:tc>
          <w:tcPr/>
          <w:p>
            <w:pPr>
              <w:pStyle w:val="Compact"/>
              <w:jc w:val="left"/>
            </w:pPr>
            <w:r>
              <w:rPr>
                <w:bCs/>
                <w:b/>
              </w:rPr>
              <w:t xml:space="preserve">Judge</w:t>
            </w:r>
            <w:r>
              <w:t xml:space="preserve"> </w:t>
            </w:r>
            <w:r>
              <w:t xml:space="preserve">Central Command Console – Model JX-CC-4 (4K display, real-time aggregation engine, redundant power supply, dedicated</w:t>
            </w:r>
            <w:r>
              <w:t xml:space="preserve"> </w:t>
            </w:r>
            <w:r>
              <w:rPr>
                <w:bCs/>
                <w:b/>
              </w:rPr>
              <w:t xml:space="preserve">Judge</w:t>
            </w:r>
            <w:r>
              <w:t xml:space="preserve"> </w:t>
            </w:r>
            <w:r>
              <w:t xml:space="preserve">session management software)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500,000,000</w:t>
            </w:r>
          </w:p>
        </w:tc>
      </w:tr>
      <w:tr>
        <w:tc>
          <w:tcPr/>
          <w:p>
            <w:pPr>
              <w:pStyle w:val="Compact"/>
              <w:jc w:val="left"/>
            </w:pPr>
            <w:r>
              <w:t xml:space="preserve">3</w:t>
            </w:r>
          </w:p>
        </w:tc>
        <w:tc>
          <w:tcPr/>
          <w:p>
            <w:pPr>
              <w:pStyle w:val="Compact"/>
              <w:jc w:val="left"/>
            </w:pPr>
            <w:r>
              <w:rPr>
                <w:bCs/>
                <w:b/>
              </w:rPr>
              <w:t xml:space="preserve">Judge</w:t>
            </w:r>
            <w:r>
              <w:t xml:space="preserve"> </w:t>
            </w:r>
            <w:r>
              <w:t xml:space="preserve">Software License – JX-OS v7.2 (perpetual license, includes</w:t>
            </w:r>
            <w:r>
              <w:t xml:space="preserve"> </w:t>
            </w:r>
            <w:r>
              <w:rPr>
                <w:bCs/>
                <w:b/>
              </w:rPr>
              <w:t xml:space="preserve">Judge</w:t>
            </w:r>
            <w:r>
              <w:t xml:space="preserve"> </w:t>
            </w:r>
            <w:r>
              <w:t xml:space="preserve">scoring algorithms, anti-fraud verification module, audit trail logging, and Bahasa Indonesia localization pack)</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350,000,000</w:t>
            </w:r>
          </w:p>
        </w:tc>
        <w:tc>
          <w:tcPr/>
          <w:p>
            <w:pPr>
              <w:pStyle w:val="Compact"/>
              <w:jc w:val="left"/>
            </w:pPr>
            <w:r>
              <w:t xml:space="preserve">350,000,000</w:t>
            </w:r>
          </w:p>
        </w:tc>
      </w:tr>
      <w:tr>
        <w:tc>
          <w:tcPr/>
          <w:p>
            <w:pPr>
              <w:pStyle w:val="Compact"/>
              <w:jc w:val="left"/>
            </w:pPr>
            <w:r>
              <w:t xml:space="preserve">4</w:t>
            </w:r>
          </w:p>
        </w:tc>
        <w:tc>
          <w:tcPr/>
          <w:p>
            <w:pPr>
              <w:pStyle w:val="Compact"/>
              <w:jc w:val="left"/>
            </w:pPr>
            <w:r>
              <w:rPr>
                <w:bCs/>
                <w:b/>
              </w:rPr>
              <w:t xml:space="preserve">Judge</w:t>
            </w:r>
            <w:r>
              <w:t xml:space="preserve"> </w:t>
            </w:r>
            <w:r>
              <w:t xml:space="preserve">Calibration &amp; Certification Kit – includes precision sensors, reference scoring templates, and ISO 17025-compliant calibration certificates for all</w:t>
            </w:r>
            <w:r>
              <w:t xml:space="preserve"> </w:t>
            </w:r>
            <w:r>
              <w:rPr>
                <w:bCs/>
                <w:b/>
              </w:rPr>
              <w:t xml:space="preserve">Judge</w:t>
            </w:r>
            <w:r>
              <w:t xml:space="preserve"> </w:t>
            </w:r>
            <w:r>
              <w:t xml:space="preserve">panels</w:t>
            </w:r>
          </w:p>
        </w:tc>
        <w:tc>
          <w:tcPr/>
          <w:p>
            <w:pPr>
              <w:pStyle w:val="Compact"/>
              <w:jc w:val="left"/>
            </w:pPr>
            <w:r>
              <w:t xml:space="preserve">24</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76,800,000</w:t>
            </w:r>
          </w:p>
        </w:tc>
      </w:tr>
      <w:tr>
        <w:tc>
          <w:tcPr/>
          <w:p>
            <w:pPr>
              <w:pStyle w:val="Compact"/>
              <w:jc w:val="left"/>
            </w:pPr>
            <w:r>
              <w:t xml:space="preserve">5</w:t>
            </w:r>
          </w:p>
        </w:tc>
        <w:tc>
          <w:tcPr/>
          <w:p>
            <w:pPr>
              <w:pStyle w:val="Compact"/>
              <w:jc w:val="left"/>
            </w:pPr>
            <w:r>
              <w:t xml:space="preserve">Professional Installation, Configuration &amp; On-Site Commissioning in Jakarta, Indonesia (includes network infrastructure setup at Gelora Bung Karno,</w:t>
            </w:r>
            <w:r>
              <w:t xml:space="preserve"> </w:t>
            </w:r>
            <w:r>
              <w:rPr>
                <w:bCs/>
                <w:b/>
              </w:rPr>
              <w:t xml:space="preserve">Judge</w:t>
            </w:r>
            <w:r>
              <w:t xml:space="preserve"> </w:t>
            </w:r>
            <w:r>
              <w:t xml:space="preserve">panel positioning, and 72-hour stress testing)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6</w:t>
            </w:r>
          </w:p>
        </w:tc>
        <w:tc>
          <w:tcPr/>
          <w:p>
            <w:pPr>
              <w:pStyle w:val="Compact"/>
              <w:jc w:val="left"/>
            </w:pPr>
            <w:r>
              <w:t xml:space="preserve">Operator Training Program – 5-day intensive</w:t>
            </w:r>
            <w:r>
              <w:t xml:space="preserve"> </w:t>
            </w:r>
            <w:r>
              <w:rPr>
                <w:bCs/>
                <w:b/>
              </w:rPr>
              <w:t xml:space="preserve">Judge</w:t>
            </w:r>
            <w:r>
              <w:t xml:space="preserve"> </w:t>
            </w:r>
            <w:r>
              <w:t xml:space="preserve">system training for 40 NEMCA staff and appointed</w:t>
            </w:r>
            <w:r>
              <w:t xml:space="preserve"> </w:t>
            </w:r>
            <w:r>
              <w:rPr>
                <w:bCs/>
                <w:b/>
              </w:rPr>
              <w:t xml:space="preserve">Judge</w:t>
            </w:r>
            <w:r>
              <w:t xml:space="preserve"> </w:t>
            </w:r>
            <w:r>
              <w:t xml:space="preserve">panel members, conducted at NEMCA Training Centre, Jakarta Selatan, Indonesia</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Extended Warranty &amp; Technical Support – 3-year comprehensive coverage for all</w:t>
            </w:r>
            <w:r>
              <w:t xml:space="preserve"> </w:t>
            </w:r>
            <w:r>
              <w:rPr>
                <w:bCs/>
                <w:b/>
              </w:rPr>
              <w:t xml:space="preserve">Judge</w:t>
            </w:r>
            <w:r>
              <w:t xml:space="preserve"> </w:t>
            </w:r>
            <w:r>
              <w:t xml:space="preserve">hardware and software, including 24/7 remote support and on-site response within 4 hours in the Jakarta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210,000,000</w:t>
            </w:r>
          </w:p>
        </w:tc>
        <w:tc>
          <w:tcPr/>
          <w:p>
            <w:pPr>
              <w:pStyle w:val="Compact"/>
              <w:jc w:val="left"/>
            </w:pPr>
            <w:r>
              <w:t xml:space="preserve">210,000,000</w:t>
            </w:r>
          </w:p>
        </w:tc>
      </w:tr>
      <w:tr>
        <w:tc>
          <w:tcPr>
            <w:gridSpan w:val="5"/>
          </w:tcPr>
          <w:p>
            <w:pPr>
              <w:pStyle w:val="Compact"/>
              <w:jc w:val="right"/>
            </w:pPr>
            <w:r>
              <w:t xml:space="preserve">SUBTOTAL</w:t>
            </w:r>
          </w:p>
        </w:tc>
        <w:tc>
          <w:tcPr/>
          <w:p>
            <w:pPr>
              <w:pStyle w:val="Compact"/>
              <w:jc w:val="left"/>
            </w:pPr>
            <w:r>
              <w:t xml:space="preserve">2,580,800,000</w:t>
            </w:r>
          </w:p>
        </w:tc>
      </w:tr>
      <w:tr>
        <w:tc>
          <w:tcPr>
            <w:gridSpan w:val="5"/>
          </w:tcPr>
          <w:p>
            <w:pPr>
              <w:pStyle w:val="Compact"/>
              <w:jc w:val="right"/>
            </w:pPr>
            <w:r>
              <w:t xml:space="preserve">VAT (PPN) 11% – Indonesia</w:t>
            </w:r>
          </w:p>
        </w:tc>
        <w:tc>
          <w:tcPr/>
          <w:p>
            <w:pPr>
              <w:pStyle w:val="Compact"/>
              <w:jc w:val="left"/>
            </w:pPr>
            <w:r>
              <w:t xml:space="preserve">283,888,000</w:t>
            </w:r>
          </w:p>
        </w:tc>
      </w:tr>
      <w:tr>
        <w:tc>
          <w:tcPr>
            <w:gridSpan w:val="5"/>
          </w:tcPr>
          <w:p>
            <w:pPr>
              <w:pStyle w:val="Compact"/>
              <w:jc w:val="right"/>
            </w:pPr>
            <w:r>
              <w:t xml:space="preserve">IMPORT DUTY &amp; SHIPPING (Singapore to Jakarta, Indonesia)</w:t>
            </w:r>
          </w:p>
        </w:tc>
        <w:tc>
          <w:tcPr/>
          <w:p>
            <w:pPr>
              <w:pStyle w:val="Compact"/>
              <w:jc w:val="left"/>
            </w:pPr>
            <w:r>
              <w:t xml:space="preserve">42,500,000</w:t>
            </w:r>
          </w:p>
        </w:tc>
      </w:tr>
      <w:tr>
        <w:tc>
          <w:tcPr>
            <w:gridSpan w:val="5"/>
          </w:tcPr>
          <w:p>
            <w:pPr>
              <w:pStyle w:val="Compact"/>
              <w:jc w:val="right"/>
            </w:pPr>
            <w:r>
              <w:rPr>
                <w:bCs/>
                <w:b/>
              </w:rPr>
              <w:t xml:space="preserve">TOTAL AMOUNT DUE (IDR)</w:t>
            </w:r>
          </w:p>
        </w:tc>
        <w:tc>
          <w:tcPr/>
          <w:p>
            <w:pPr>
              <w:pStyle w:val="Compact"/>
              <w:jc w:val="left"/>
            </w:pPr>
            <w:r>
              <w:rPr>
                <w:bCs/>
                <w:b/>
              </w:rPr>
              <w:t xml:space="preserve">2,907,188,000</w:t>
            </w:r>
          </w:p>
        </w:tc>
      </w:tr>
    </w:tbl>
    <w:p>
      <w:pPr>
        <w:pStyle w:val="BodyText"/>
      </w:pPr>
      <w:r>
        <w:t xml:space="preserve">4. TERMS AND CONDITIONS</w:t>
      </w:r>
    </w:p>
    <w:p>
      <w:pPr>
        <w:numPr>
          <w:ilvl w:val="0"/>
          <w:numId w:val="1001"/>
        </w:numPr>
        <w:pStyle w:val="Compact"/>
      </w:pPr>
      <w:r>
        <w:rPr>
          <w:bCs/>
          <w:b/>
        </w:rPr>
        <w:t xml:space="preserve">Delivery:</w:t>
      </w:r>
      <w:r>
        <w:t xml:space="preserve"> </w:t>
      </w:r>
      <w:r>
        <w:t xml:space="preserve">All</w:t>
      </w:r>
      <w:r>
        <w:t xml:space="preserve"> </w:t>
      </w:r>
      <w:r>
        <w:rPr>
          <w:bCs/>
          <w:b/>
        </w:rPr>
        <w:t xml:space="preserve">Judge</w:t>
      </w:r>
      <w:r>
        <w:t xml:space="preserve"> </w:t>
      </w:r>
      <w:r>
        <w:t xml:space="preserve">hardware and software components shall be delivered to the NEMCA warehouse located at Jl. Gatot Subroto Kav. 37, Jakarta Selatan, DKI Jakarta, Indonesia, no later than 20 July 2025. Delivery shall be made in accordance with Incoterms 2020 – DDP (Delivered Duty Paid) Jakarta.</w:t>
      </w:r>
    </w:p>
    <w:p>
      <w:pPr>
        <w:numPr>
          <w:ilvl w:val="0"/>
          <w:numId w:val="1001"/>
        </w:numPr>
        <w:pStyle w:val="Compact"/>
      </w:pPr>
      <w:r>
        <w:rPr>
          <w:bCs/>
          <w:b/>
        </w:rPr>
        <w:t xml:space="preserve">Payment Terms:</w:t>
      </w:r>
      <w:r>
        <w:t xml:space="preserve"> </w:t>
      </w:r>
      <w:r>
        <w:t xml:space="preserve">Payment shall be made in three installments: (a) 40% (IDR 1,162,875,200) upon signing of this Purchase Order; (b) 40% (IDR 1,162,875,200) upon successful delivery and initial inspection of all</w:t>
      </w:r>
      <w:r>
        <w:t xml:space="preserve"> </w:t>
      </w:r>
      <w:r>
        <w:rPr>
          <w:bCs/>
          <w:b/>
        </w:rPr>
        <w:t xml:space="preserve">Judge</w:t>
      </w:r>
      <w:r>
        <w:t xml:space="preserve"> </w:t>
      </w:r>
      <w:r>
        <w:t xml:space="preserve">system components in Jakarta; (c) 20% (IDR 581,437,600) upon completion of the 72-hour stress test and final commissioning sign-off. All payments shall be made via bank transfer to the supplier's designated account in Indonesian Rupiah (IDR) or US Dollars (USD) at the prevailing Bank Indonesia exchange rate.</w:t>
      </w:r>
    </w:p>
    <w:p>
      <w:pPr>
        <w:numPr>
          <w:ilvl w:val="0"/>
          <w:numId w:val="1001"/>
        </w:numPr>
        <w:pStyle w:val="Compact"/>
      </w:pPr>
      <w:r>
        <w:rPr>
          <w:bCs/>
          <w:b/>
        </w:rPr>
        <w:t xml:space="preserve">Warranty:</w:t>
      </w:r>
      <w:r>
        <w:t xml:space="preserve"> </w:t>
      </w:r>
      <w:r>
        <w:t xml:space="preserve">The supplier warrants that all</w:t>
      </w:r>
      <w:r>
        <w:t xml:space="preserve"> </w:t>
      </w:r>
      <w:r>
        <w:rPr>
          <w:bCs/>
          <w:b/>
        </w:rPr>
        <w:t xml:space="preserve">Judge</w:t>
      </w:r>
      <w:r>
        <w:t xml:space="preserve"> </w:t>
      </w:r>
      <w:r>
        <w:t xml:space="preserve">system components are new, free from defects, and conform to the specifications outlined in Appendix A of this Purchase Order. The 3-year warranty period commences on the date of final commissioning in Jakarta, Indonesia.</w:t>
      </w:r>
    </w:p>
    <w:p>
      <w:pPr>
        <w:numPr>
          <w:ilvl w:val="0"/>
          <w:numId w:val="1001"/>
        </w:numPr>
        <w:pStyle w:val="Compact"/>
      </w:pPr>
      <w:r>
        <w:rPr>
          <w:bCs/>
          <w:b/>
        </w:rPr>
        <w:t xml:space="preserve">Compliance:</w:t>
      </w:r>
      <w:r>
        <w:t xml:space="preserve"> </w:t>
      </w:r>
      <w:r>
        <w:t xml:space="preserve">All</w:t>
      </w:r>
      <w:r>
        <w:t xml:space="preserve"> </w:t>
      </w:r>
      <w:r>
        <w:rPr>
          <w:bCs/>
          <w:b/>
        </w:rPr>
        <w:t xml:space="preserve">Judge</w:t>
      </w:r>
      <w:r>
        <w:t xml:space="preserve"> </w:t>
      </w:r>
      <w:r>
        <w:t xml:space="preserve">equipment and software shall comply with the regulations of the Indonesian National Standard (SNI), the Ministry of Communication and Information Technology (Kominfo) of the Republic of Indonesia, and applicable data protection laws under Law No. 27 of 2022 on Personal Data Protection (UU PDP).</w:t>
      </w:r>
    </w:p>
    <w:p>
      <w:pPr>
        <w:numPr>
          <w:ilvl w:val="0"/>
          <w:numId w:val="1001"/>
        </w:numPr>
        <w:pStyle w:val="Compact"/>
      </w:pPr>
      <w:r>
        <w:rPr>
          <w:bCs/>
          <w:b/>
        </w:rPr>
        <w:t xml:space="preserve">Intellectual Property:</w:t>
      </w:r>
      <w:r>
        <w:t xml:space="preserve"> </w:t>
      </w:r>
      <w:r>
        <w:t xml:space="preserve">All</w:t>
      </w:r>
      <w:r>
        <w:t xml:space="preserve"> </w:t>
      </w:r>
      <w:r>
        <w:rPr>
          <w:bCs/>
          <w:b/>
        </w:rPr>
        <w:t xml:space="preserve">Judge</w:t>
      </w:r>
      <w:r>
        <w:t xml:space="preserve"> </w:t>
      </w:r>
      <w:r>
        <w:t xml:space="preserve">software, scoring algorithms, and proprietary technology remain the intellectual property of Global Judge Systems International Pte. Ltd. NEMCA is granted a non-transferable, perpetual license to use the</w:t>
      </w:r>
      <w:r>
        <w:t xml:space="preserve"> </w:t>
      </w:r>
      <w:r>
        <w:rPr>
          <w:bCs/>
          <w:b/>
        </w:rPr>
        <w:t xml:space="preserve">Judge</w:t>
      </w:r>
      <w:r>
        <w:t xml:space="preserve"> </w:t>
      </w:r>
      <w:r>
        <w:t xml:space="preserve">system exclusively for competition adjudication purposes within Indonesia.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regulations in Indonesia, or international trade restrictions.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herefrom shall be resolved through arbitration at the Indonesian National Board of Arbitration (BANI) in Jakarta, Indonesia.</w:t>
      </w:r>
    </w:p>
    <w:p>
      <w:pPr>
        <w:numPr>
          <w:ilvl w:val="0"/>
          <w:numId w:val="1001"/>
        </w:numPr>
        <w:pStyle w:val="Compact"/>
      </w:pPr>
      <w:r>
        <w:rPr>
          <w:bCs/>
          <w:b/>
        </w:rPr>
        <w:t xml:space="preserve">Confidentiality:</w:t>
      </w:r>
      <w:r>
        <w:t xml:space="preserve"> </w:t>
      </w:r>
      <w:r>
        <w:t xml:space="preserve">Both parties agree to maintain strict confidentiality regarding all technical specifications, pricing, and operational details of the</w:t>
      </w:r>
      <w:r>
        <w:t xml:space="preserve"> </w:t>
      </w:r>
      <w:r>
        <w:rPr>
          <w:bCs/>
          <w:b/>
        </w:rPr>
        <w:t xml:space="preserve">Judge</w:t>
      </w:r>
      <w:r>
        <w:t xml:space="preserve"> </w:t>
      </w:r>
      <w:r>
        <w:t xml:space="preserve">system. This obligation survives the termination of this Purchase Order for a period of five (5) years.</w:t>
      </w:r>
    </w:p>
    <w:p>
      <w:pPr>
        <w:pStyle w:val="FirstParagraph"/>
      </w:pPr>
      <w:r>
        <w:t xml:space="preserve">5. AUTHORIZED SIGNATORIES</w:t>
      </w:r>
    </w:p>
    <w:p>
      <w:pPr>
        <w:pStyle w:val="BodyText"/>
      </w:pPr>
      <w:r>
        <w:rPr>
          <w:bCs/>
          <w:b/>
        </w:rPr>
        <w:t xml:space="preserve">For and on behalf of the Buyer:</w:t>
      </w:r>
      <w:r>
        <w:br/>
      </w:r>
      <w:r>
        <w:t xml:space="preserve">Nusantara Event Management &amp; Competition Authority</w:t>
      </w:r>
      <w:r>
        <w:br/>
      </w:r>
      <w:r>
        <w:t xml:space="preserve">Jakarta, Indonesia</w:t>
      </w:r>
    </w:p>
    <w:p>
      <w:pPr>
        <w:pStyle w:val="BodyText"/>
      </w:pPr>
      <w:r>
        <w:rPr>
          <w:bCs/>
          <w:b/>
        </w:rPr>
        <w:t xml:space="preserve">Budi Santoso</w:t>
      </w:r>
      <w:r>
        <w:br/>
      </w:r>
      <w:r>
        <w:t xml:space="preserve">Procurement Officer</w:t>
      </w:r>
      <w:r>
        <w:br/>
      </w:r>
      <w:r>
        <w:t xml:space="preserve">Date: _______________</w:t>
      </w:r>
    </w:p>
    <w:p>
      <w:pPr>
        <w:pStyle w:val="BodyText"/>
      </w:pPr>
      <w:r>
        <w:rPr>
          <w:bCs/>
          <w:b/>
        </w:rPr>
        <w:t xml:space="preserve">For and on behalf of the Seller:</w:t>
      </w:r>
      <w:r>
        <w:br/>
      </w:r>
      <w:r>
        <w:t xml:space="preserve">Global Judge Systems International Pte. Ltd.</w:t>
      </w:r>
      <w:r>
        <w:br/>
      </w:r>
      <w:r>
        <w:t xml:space="preserve">Singapore</w:t>
      </w:r>
    </w:p>
    <w:p>
      <w:pPr>
        <w:pStyle w:val="BodyText"/>
      </w:pPr>
      <w:r>
        <w:rPr>
          <w:bCs/>
          <w:b/>
        </w:rPr>
        <w:t xml:space="preserve">Lim Wei Jie</w:t>
      </w:r>
      <w:r>
        <w:br/>
      </w:r>
      <w:r>
        <w:t xml:space="preserve">Regional Sales Director – Southeast Asia</w:t>
      </w:r>
      <w:r>
        <w:br/>
      </w:r>
      <w:r>
        <w:t xml:space="preserve">Date: _______________</w:t>
      </w:r>
    </w:p>
    <w:p>
      <w:pPr>
        <w:pStyle w:val="BodyText"/>
      </w:pPr>
      <w:r>
        <w:t xml:space="preserve">This Purchase Order (PO-JKT-2025-04782) is an official procurement document issued by Nusantara Event Management &amp; Competition Authority, Jakarta, Indonesia. This document is valid only when signed and stamped by both authorized parties. Unauthorized reproduction or distribution is prohibited under Indonesian law. © 2025 NEMCA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 - Indonesia Jakarta</dc:title>
  <dc:creator/>
  <dc:language>en</dc:language>
  <cp:keywords/>
  <dcterms:created xsi:type="dcterms:W3CDTF">2026-10-10T09:53:29Z</dcterms:created>
  <dcterms:modified xsi:type="dcterms:W3CDTF">2026-10-10T09:53:29Z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