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Judicial</w:t>
      </w:r>
      <w:r>
        <w:t xml:space="preserve"> </w:t>
      </w:r>
      <w:r>
        <w:t xml:space="preserve">Office</w:t>
      </w:r>
      <w:r>
        <w:t xml:space="preserve"> </w:t>
      </w:r>
      <w:r>
        <w:t xml:space="preserve">Equipment</w:t>
      </w:r>
      <w:r>
        <w:t xml:space="preserve"> </w:t>
      </w:r>
      <w:r>
        <w:t xml:space="preserve">-</w:t>
      </w:r>
      <w:r>
        <w:t xml:space="preserve"> </w:t>
      </w:r>
      <w:r>
        <w:t xml:space="preserve">Tehran,</w:t>
      </w:r>
      <w:r>
        <w:t xml:space="preserve"> </w:t>
      </w:r>
      <w:r>
        <w:t xml:space="preserve">Iran</w:t>
      </w:r>
    </w:p>
    <w:bookmarkStart w:id="20" w:name="purchase-order"/>
    <w:p>
      <w:pPr>
        <w:pStyle w:val="Heading1"/>
      </w:pPr>
      <w:r>
        <w:t xml:space="preserve">PURCHASE ORDER</w:t>
      </w:r>
    </w:p>
    <w:p>
      <w:pPr>
        <w:pStyle w:val="FirstParagraph"/>
      </w:pPr>
      <w:r>
        <w:t xml:space="preserve">Islamic Republic of Iran — Judiciary of Iran — Tehran District Court</w:t>
      </w:r>
    </w:p>
    <w:p>
      <w:pPr>
        <w:pStyle w:val="BodyText"/>
      </w:pPr>
      <w:r>
        <w:t xml:space="preserve">OFFICIAL DOCUMENT</w:t>
      </w:r>
    </w:p>
    <w:bookmarkEnd w:id="20"/>
    <w:p>
      <w:pPr>
        <w:pStyle w:val="BodyText"/>
      </w:pPr>
      <w:r>
        <w:rPr>
          <w:bCs/>
          <w:b/>
        </w:rPr>
        <w:t xml:space="preserve">Purchase Order No.:</w:t>
      </w:r>
      <w:r>
        <w:t xml:space="preserve"> </w:t>
      </w:r>
      <w:r>
        <w:t xml:space="preserve">PO-IRN-THR-2025-04782</w:t>
      </w:r>
      <w:r>
        <w:br/>
      </w:r>
      <w:r>
        <w:rPr>
          <w:bCs/>
          <w:b/>
        </w:rPr>
        <w:t xml:space="preserve">Date of Issue:</w:t>
      </w:r>
      <w:r>
        <w:t xml:space="preserve"> </w:t>
      </w:r>
      <w:r>
        <w:t xml:space="preserve">14 June 2025 (24 Khordad 1404)</w:t>
      </w:r>
      <w:r>
        <w:br/>
      </w:r>
      <w:r>
        <w:rPr>
          <w:bCs/>
          <w:b/>
        </w:rPr>
        <w:t xml:space="preserve">Valid Until:</w:t>
      </w:r>
      <w:r>
        <w:t xml:space="preserve"> </w:t>
      </w:r>
      <w:r>
        <w:t xml:space="preserve">14 July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Iranian Rial (IRR)</w:t>
      </w:r>
      <w:r>
        <w:br/>
      </w:r>
      <w:r>
        <w:rPr>
          <w:bCs/>
          <w:b/>
        </w:rPr>
        <w:t xml:space="preserve">Payment Terms:</w:t>
      </w:r>
      <w:r>
        <w:t xml:space="preserve"> </w:t>
      </w:r>
      <w:r>
        <w:t xml:space="preserve">Net 30 Days</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Supreme Court of Justice, Judicial Office of the Honorable Judge, Tehran District Court</w:t>
            </w:r>
          </w:p>
        </w:tc>
      </w:tr>
      <w:tr>
        <w:tc>
          <w:tcPr/>
          <w:p>
            <w:pPr>
              <w:pStyle w:val="Compact"/>
              <w:jc w:val="left"/>
            </w:pPr>
            <w:r>
              <w:rPr>
                <w:bCs/>
                <w:b/>
              </w:rPr>
              <w:t xml:space="preserve">Address:</w:t>
            </w:r>
          </w:p>
        </w:tc>
        <w:tc>
          <w:tcPr/>
          <w:p>
            <w:pPr>
              <w:pStyle w:val="Compact"/>
              <w:jc w:val="left"/>
            </w:pPr>
            <w:r>
              <w:t xml:space="preserve">Justice Square, Valiasr Street, Tehran, Iran</w:t>
            </w:r>
          </w:p>
        </w:tc>
      </w:tr>
      <w:tr>
        <w:tc>
          <w:tcPr/>
          <w:p>
            <w:pPr>
              <w:pStyle w:val="Compact"/>
              <w:jc w:val="left"/>
            </w:pPr>
            <w:r>
              <w:rPr>
                <w:bCs/>
                <w:b/>
              </w:rPr>
              <w:t xml:space="preserve">Contact Person:</w:t>
            </w:r>
          </w:p>
        </w:tc>
        <w:tc>
          <w:tcPr/>
          <w:p>
            <w:pPr>
              <w:pStyle w:val="Compact"/>
              <w:jc w:val="left"/>
            </w:pPr>
            <w:r>
              <w:t xml:space="preserve">Mr. Reza Ahmadi, Administrative Officer, Office of the Judge</w:t>
            </w:r>
          </w:p>
        </w:tc>
      </w:tr>
      <w:tr>
        <w:tc>
          <w:tcPr/>
          <w:p>
            <w:pPr>
              <w:pStyle w:val="Compact"/>
              <w:jc w:val="left"/>
            </w:pPr>
            <w:r>
              <w:rPr>
                <w:bCs/>
                <w:b/>
              </w:rPr>
              <w:t xml:space="preserve">Telephone:</w:t>
            </w:r>
          </w:p>
        </w:tc>
        <w:tc>
          <w:tcPr/>
          <w:p>
            <w:pPr>
              <w:pStyle w:val="Compact"/>
              <w:jc w:val="left"/>
            </w:pPr>
            <w:r>
              <w:t xml:space="preserve">+98-21-8877-4455</w:t>
            </w:r>
          </w:p>
        </w:tc>
      </w:tr>
      <w:tr>
        <w:tc>
          <w:tcPr/>
          <w:p>
            <w:pPr>
              <w:pStyle w:val="Compact"/>
              <w:jc w:val="left"/>
            </w:pPr>
            <w:r>
              <w:rPr>
                <w:bCs/>
                <w:b/>
              </w:rPr>
              <w:t xml:space="preserve">Email:</w:t>
            </w:r>
          </w:p>
        </w:tc>
        <w:tc>
          <w:tcPr/>
          <w:p>
            <w:pPr>
              <w:pStyle w:val="Compact"/>
              <w:jc w:val="left"/>
            </w:pPr>
            <w:r>
              <w:t xml:space="preserve">admin.judge.tehran@judiciary.ir</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Tehran Judicial Furnishings &amp; Technology Co., Ltd.</w:t>
            </w:r>
          </w:p>
        </w:tc>
      </w:tr>
      <w:tr>
        <w:tc>
          <w:tcPr/>
          <w:p>
            <w:pPr>
              <w:pStyle w:val="Compact"/>
              <w:jc w:val="left"/>
            </w:pPr>
            <w:r>
              <w:rPr>
                <w:bCs/>
                <w:b/>
              </w:rPr>
              <w:t xml:space="preserve">Address:</w:t>
            </w:r>
          </w:p>
        </w:tc>
        <w:tc>
          <w:tcPr/>
          <w:p>
            <w:pPr>
              <w:pStyle w:val="Compact"/>
              <w:jc w:val="left"/>
            </w:pPr>
            <w:r>
              <w:t xml:space="preserve">Industrial Zone 3, Kahrizak Road, Tehran, Iran</w:t>
            </w:r>
          </w:p>
        </w:tc>
      </w:tr>
      <w:tr>
        <w:tc>
          <w:tcPr/>
          <w:p>
            <w:pPr>
              <w:pStyle w:val="Compact"/>
              <w:jc w:val="left"/>
            </w:pPr>
            <w:r>
              <w:rPr>
                <w:bCs/>
                <w:b/>
              </w:rPr>
              <w:t xml:space="preserve">Tax Registration No.:</w:t>
            </w:r>
          </w:p>
        </w:tc>
        <w:tc>
          <w:tcPr/>
          <w:p>
            <w:pPr>
              <w:pStyle w:val="Compact"/>
              <w:jc w:val="left"/>
            </w:pPr>
            <w:r>
              <w:t xml:space="preserve">102-4478-9921</w:t>
            </w:r>
          </w:p>
        </w:tc>
      </w:tr>
      <w:tr>
        <w:tc>
          <w:tcPr/>
          <w:p>
            <w:pPr>
              <w:pStyle w:val="Compact"/>
              <w:jc w:val="left"/>
            </w:pPr>
            <w:r>
              <w:rPr>
                <w:bCs/>
                <w:b/>
              </w:rPr>
              <w:t xml:space="preserve">Contact Person:</w:t>
            </w:r>
          </w:p>
        </w:tc>
        <w:tc>
          <w:tcPr/>
          <w:p>
            <w:pPr>
              <w:pStyle w:val="Compact"/>
              <w:jc w:val="left"/>
            </w:pPr>
            <w:r>
              <w:t xml:space="preserve">Ms. Fatemeh Karimi, Sales Director</w:t>
            </w:r>
          </w:p>
        </w:tc>
      </w:tr>
      <w:tr>
        <w:tc>
          <w:tcPr/>
          <w:p>
            <w:pPr>
              <w:pStyle w:val="Compact"/>
              <w:jc w:val="left"/>
            </w:pPr>
            <w:r>
              <w:rPr>
                <w:bCs/>
                <w:b/>
              </w:rPr>
              <w:t xml:space="preserve">Telephone:</w:t>
            </w:r>
          </w:p>
        </w:tc>
        <w:tc>
          <w:tcPr/>
          <w:p>
            <w:pPr>
              <w:pStyle w:val="Compact"/>
              <w:jc w:val="left"/>
            </w:pPr>
            <w:r>
              <w:t xml:space="preserve">+98-21-5566-3300</w:t>
            </w:r>
          </w:p>
        </w:tc>
      </w:tr>
    </w:tbl>
    <w:bookmarkEnd w:id="22"/>
    <w:bookmarkStart w:id="23" w:name="purpose-and-scope"/>
    <w:p>
      <w:pPr>
        <w:pStyle w:val="Heading2"/>
      </w:pPr>
      <w:r>
        <w:t xml:space="preserve">3. Purpose and Scope</w:t>
      </w:r>
    </w:p>
    <w:p>
      <w:pPr>
        <w:pStyle w:val="FirstParagraph"/>
      </w:pPr>
      <w:r>
        <w:t xml:space="preserve">This Purchase Order is issued by the Administrative Office of the Honorable Judge at the Tehran District Court, Islamic Republic of Iran, for the procurement of specialized furniture, judicial technology equipment, and official documentation materials required for the daily operations of the Judge’s chamber and courtroom. All items listed herein are intended to support the Judge in the fair and efficient administration of justice within the judicial system of Iran Tehran. The procurement complies with the regulations set forth by the Supreme Court of Justice and the Ministry of Interior of the Islamic Republic of Iran.</w:t>
      </w:r>
    </w:p>
    <w:bookmarkEnd w:id="23"/>
    <w:bookmarkStart w:id="24" w:name="itemized-purchase-details"/>
    <w:p>
      <w:pPr>
        <w:pStyle w:val="Heading2"/>
      </w:pPr>
      <w:r>
        <w:t xml:space="preserve">4. Itemized Purchase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Executive Judge’s Desk, walnut finish, with integrated document tray and cable management, dimensions 220cm × 100cm × 75cm, compliant with Iranian judicial office standards</w:t>
            </w:r>
          </w:p>
        </w:tc>
        <w:tc>
          <w:tcPr/>
          <w:p>
            <w:pPr>
              <w:pStyle w:val="Compact"/>
              <w:jc w:val="left"/>
            </w:pPr>
            <w:r>
              <w:t xml:space="preserve">1</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02</w:t>
            </w:r>
          </w:p>
        </w:tc>
        <w:tc>
          <w:tcPr/>
          <w:p>
            <w:pPr>
              <w:pStyle w:val="Compact"/>
              <w:jc w:val="left"/>
            </w:pPr>
            <w:r>
              <w:t xml:space="preserve">Judge’s Bench (elevated platform seating), mahogany wood, with built-in gavel rest and nameplate holder, for courtroom use in Tehran District Court</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03</w:t>
            </w:r>
          </w:p>
        </w:tc>
        <w:tc>
          <w:tcPr/>
          <w:p>
            <w:pPr>
              <w:pStyle w:val="Compact"/>
              <w:jc w:val="left"/>
            </w:pPr>
            <w:r>
              <w:t xml:space="preserve">Official Gavel and Sound Block, certified judicial grade, with engraved emblem of the Judiciary of Iran, for use by the Judge during proceedings</w:t>
            </w:r>
          </w:p>
        </w:tc>
        <w:tc>
          <w:tcPr/>
          <w:p>
            <w:pPr>
              <w:pStyle w:val="Compact"/>
              <w:jc w:val="left"/>
            </w:pPr>
            <w:r>
              <w:t xml:space="preserve">2</w:t>
            </w:r>
          </w:p>
        </w:tc>
        <w:tc>
          <w:tcPr/>
          <w:p>
            <w:pPr>
              <w:pStyle w:val="Compact"/>
              <w:jc w:val="left"/>
            </w:pPr>
            <w:r>
              <w:t xml:space="preserve">4,500,000</w:t>
            </w:r>
          </w:p>
        </w:tc>
        <w:tc>
          <w:tcPr/>
          <w:p>
            <w:pPr>
              <w:pStyle w:val="Compact"/>
              <w:jc w:val="left"/>
            </w:pPr>
            <w:r>
              <w:t xml:space="preserve">9,000,000</w:t>
            </w:r>
          </w:p>
        </w:tc>
      </w:tr>
      <w:tr>
        <w:tc>
          <w:tcPr/>
          <w:p>
            <w:pPr>
              <w:pStyle w:val="Compact"/>
              <w:jc w:val="left"/>
            </w:pPr>
            <w:r>
              <w:t xml:space="preserve">04</w:t>
            </w:r>
          </w:p>
        </w:tc>
        <w:tc>
          <w:tcPr/>
          <w:p>
            <w:pPr>
              <w:pStyle w:val="Compact"/>
              <w:jc w:val="left"/>
            </w:pPr>
            <w:r>
              <w:t xml:space="preserve">High-security document storage cabinet, fire-resistant, with biometric lock, for storing sensitive case files and the Judge’s confidential records, 180cm height</w:t>
            </w:r>
          </w:p>
        </w:tc>
        <w:tc>
          <w:tcPr/>
          <w:p>
            <w:pPr>
              <w:pStyle w:val="Compact"/>
              <w:jc w:val="left"/>
            </w:pPr>
            <w:r>
              <w:t xml:space="preserve">2</w:t>
            </w:r>
          </w:p>
        </w:tc>
        <w:tc>
          <w:tcPr/>
          <w:p>
            <w:pPr>
              <w:pStyle w:val="Compact"/>
              <w:jc w:val="left"/>
            </w:pPr>
            <w:r>
              <w:t xml:space="preserve">38,000,000</w:t>
            </w:r>
          </w:p>
        </w:tc>
        <w:tc>
          <w:tcPr/>
          <w:p>
            <w:pPr>
              <w:pStyle w:val="Compact"/>
              <w:jc w:val="left"/>
            </w:pPr>
            <w:r>
              <w:t xml:space="preserve">76,000,000</w:t>
            </w:r>
          </w:p>
        </w:tc>
      </w:tr>
      <w:tr>
        <w:tc>
          <w:tcPr/>
          <w:p>
            <w:pPr>
              <w:pStyle w:val="Compact"/>
              <w:jc w:val="left"/>
            </w:pPr>
            <w:r>
              <w:t xml:space="preserve">05</w:t>
            </w:r>
          </w:p>
        </w:tc>
        <w:tc>
          <w:tcPr/>
          <w:p>
            <w:pPr>
              <w:pStyle w:val="Compact"/>
              <w:jc w:val="left"/>
            </w:pPr>
            <w:r>
              <w:t xml:space="preserve">Digital courtroom recording and transcription system, including 4 high-definition cameras, 6 directional microphones, and a central processing unit for the Judge’s proceedings in Tehran</w:t>
            </w:r>
          </w:p>
        </w:tc>
        <w:tc>
          <w:tcPr/>
          <w:p>
            <w:pPr>
              <w:pStyle w:val="Compact"/>
              <w:jc w:val="left"/>
            </w:pPr>
            <w:r>
              <w:t xml:space="preserve">1</w:t>
            </w:r>
          </w:p>
        </w:tc>
        <w:tc>
          <w:tcPr/>
          <w:p>
            <w:pPr>
              <w:pStyle w:val="Compact"/>
              <w:jc w:val="left"/>
            </w:pPr>
            <w:r>
              <w:t xml:space="preserve">245,000,000</w:t>
            </w:r>
          </w:p>
        </w:tc>
        <w:tc>
          <w:tcPr/>
          <w:p>
            <w:pPr>
              <w:pStyle w:val="Compact"/>
              <w:jc w:val="left"/>
            </w:pPr>
            <w:r>
              <w:t xml:space="preserve">245,000,000</w:t>
            </w:r>
          </w:p>
        </w:tc>
      </w:tr>
      <w:tr>
        <w:tc>
          <w:tcPr/>
          <w:p>
            <w:pPr>
              <w:pStyle w:val="Compact"/>
              <w:jc w:val="left"/>
            </w:pPr>
            <w:r>
              <w:t xml:space="preserve">06</w:t>
            </w:r>
          </w:p>
        </w:tc>
        <w:tc>
          <w:tcPr/>
          <w:p>
            <w:pPr>
              <w:pStyle w:val="Compact"/>
              <w:jc w:val="left"/>
            </w:pPr>
            <w:r>
              <w:t xml:space="preserve">Official legal reference library set, complete collection of the Islamic Penal Code, Civil Code, and procedural laws of Iran, 2025 edition, leather-bound, for the Judge’s personal reference</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07</w:t>
            </w:r>
          </w:p>
        </w:tc>
        <w:tc>
          <w:tcPr/>
          <w:p>
            <w:pPr>
              <w:pStyle w:val="Compact"/>
              <w:jc w:val="left"/>
            </w:pPr>
            <w:r>
              <w:t xml:space="preserve">Secure communication terminal with encrypted line, dedicated to the Judge’s office for confidential correspondence with the Supreme Court and other judicial bodies in Iran Tehran</w:t>
            </w:r>
          </w:p>
        </w:tc>
        <w:tc>
          <w:tcPr/>
          <w:p>
            <w:pPr>
              <w:pStyle w:val="Compact"/>
              <w:jc w:val="left"/>
            </w:pPr>
            <w:r>
              <w:t xml:space="preserve">1</w:t>
            </w:r>
          </w:p>
        </w:tc>
        <w:tc>
          <w:tcPr/>
          <w:p>
            <w:pPr>
              <w:pStyle w:val="Compact"/>
              <w:jc w:val="left"/>
            </w:pPr>
            <w:r>
              <w:t xml:space="preserve">67,000,000</w:t>
            </w:r>
          </w:p>
        </w:tc>
        <w:tc>
          <w:tcPr/>
          <w:p>
            <w:pPr>
              <w:pStyle w:val="Compact"/>
              <w:jc w:val="left"/>
            </w:pPr>
            <w:r>
              <w:t xml:space="preserve">67,000,000</w:t>
            </w:r>
          </w:p>
        </w:tc>
      </w:tr>
      <w:tr>
        <w:tc>
          <w:tcPr/>
          <w:p>
            <w:pPr>
              <w:pStyle w:val="Compact"/>
              <w:jc w:val="left"/>
            </w:pPr>
            <w:r>
              <w:t xml:space="preserve">08</w:t>
            </w:r>
          </w:p>
        </w:tc>
        <w:tc>
          <w:tcPr/>
          <w:p>
            <w:pPr>
              <w:pStyle w:val="Compact"/>
              <w:jc w:val="left"/>
            </w:pPr>
            <w:r>
              <w:t xml:space="preserve">Official seal and stamp set for the Judge, including the personal seal of the Honorable Judge and the court seal, with certified ink and stamping pad</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09</w:t>
            </w:r>
          </w:p>
        </w:tc>
        <w:tc>
          <w:tcPr/>
          <w:p>
            <w:pPr>
              <w:pStyle w:val="Compact"/>
              <w:jc w:val="left"/>
            </w:pPr>
            <w:r>
              <w:t xml:space="preserve">Visitor and witness seating arrangement, 12 upholstered chairs with armrests, courtroom-grade durability, for the public gallery in the Judge’s courtroom</w:t>
            </w:r>
          </w:p>
        </w:tc>
        <w:tc>
          <w:tcPr/>
          <w:p>
            <w:pPr>
              <w:pStyle w:val="Compact"/>
              <w:jc w:val="left"/>
            </w:pPr>
            <w:r>
              <w:t xml:space="preserve">12</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10</w:t>
            </w:r>
          </w:p>
        </w:tc>
        <w:tc>
          <w:tcPr/>
          <w:p>
            <w:pPr>
              <w:pStyle w:val="Compact"/>
              <w:jc w:val="left"/>
            </w:pPr>
            <w:r>
              <w:t xml:space="preserve">Annual supply of official legal stationery, including letterhead paper bearing the Judiciary of Iran emblem, case file folders, and the Judge’s official memorandum pads, 12-month quantity</w:t>
            </w:r>
          </w:p>
        </w:tc>
        <w:tc>
          <w:tcPr/>
          <w:p>
            <w:pPr>
              <w:pStyle w:val="Compact"/>
              <w:jc w:val="left"/>
            </w:pPr>
            <w:r>
              <w:t xml:space="preserve">1</w:t>
            </w:r>
          </w:p>
        </w:tc>
        <w:tc>
          <w:tcPr/>
          <w:p>
            <w:pPr>
              <w:pStyle w:val="Compact"/>
              <w:jc w:val="left"/>
            </w:pPr>
            <w:r>
              <w:t xml:space="preserve">8,700,000</w:t>
            </w:r>
          </w:p>
        </w:tc>
        <w:tc>
          <w:tcPr/>
          <w:p>
            <w:pPr>
              <w:pStyle w:val="Compact"/>
              <w:jc w:val="left"/>
            </w:pPr>
            <w:r>
              <w:t xml:space="preserve">8,700,000</w:t>
            </w:r>
          </w:p>
        </w:tc>
      </w:tr>
    </w:tbl>
    <w:p>
      <w:pPr>
        <w:pStyle w:val="BodyText"/>
      </w:pPr>
      <w:r>
        <w:t xml:space="preserve">Subtotal: 660,500,000 IRR</w:t>
      </w:r>
    </w:p>
    <w:p>
      <w:pPr>
        <w:pStyle w:val="BodyText"/>
      </w:pPr>
      <w:r>
        <w:t xml:space="preserve">VAT (10%): 66,050,000 IRR</w:t>
      </w:r>
    </w:p>
    <w:p>
      <w:pPr>
        <w:pStyle w:val="BodyText"/>
      </w:pPr>
      <w:r>
        <w:t xml:space="preserve">Delivery and Installation (Tehran, Iran): 15,000,000 IRR</w:t>
      </w:r>
    </w:p>
    <w:p>
      <w:pPr>
        <w:pStyle w:val="BodyText"/>
      </w:pPr>
      <w:r>
        <w:t xml:space="preserve">Grand Total: 741,550,000 IRR</w:t>
      </w:r>
    </w:p>
    <w:p>
      <w:pPr>
        <w:pStyle w:val="BodyText"/>
      </w:pPr>
      <w:r>
        <w:t xml:space="preserve">(Seven Hundred Forty-One Million Five Hundred Fifty Thousand Iranian Rials)</w:t>
      </w:r>
    </w:p>
    <w:bookmarkEnd w:id="24"/>
    <w:bookmarkStart w:id="25" w:name="delivery-and-installation"/>
    <w:p>
      <w:pPr>
        <w:pStyle w:val="Heading2"/>
      </w:pPr>
      <w:r>
        <w:t xml:space="preserve">5. Delivery and Installation</w:t>
      </w:r>
    </w:p>
    <w:p>
      <w:pPr>
        <w:pStyle w:val="FirstParagraph"/>
      </w:pPr>
      <w:r>
        <w:t xml:space="preserve">All items specified in this Purchase Order shall be delivered to the Tehran District Court premises at Justice Square, Valiasr Street, Tehran, Iran, no later than 30 days from the date of this Purchase Order. The supplier is responsible for the safe transportation, professional installation, and calibration of all equipment. The Judge’s office shall be notified 48 hours in advance of the delivery date. Installation of the digital courtroom system and secure communication terminal shall be performed during non-working hours to avoid disruption to the Judge’s daily judicial proceedings.</w:t>
      </w:r>
    </w:p>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commercial laws of the Islamic Republic of Iran and the procurement regulations of the Judiciary of Iran.</w:t>
      </w:r>
    </w:p>
    <w:p>
      <w:pPr>
        <w:numPr>
          <w:ilvl w:val="0"/>
          <w:numId w:val="1001"/>
        </w:numPr>
        <w:pStyle w:val="Compact"/>
      </w:pPr>
      <w:r>
        <w:t xml:space="preserve">All goods must be new, unused, and of the highest quality suitable for official judicial use by the Judge in Tehran, Iran.</w:t>
      </w:r>
    </w:p>
    <w:p>
      <w:pPr>
        <w:numPr>
          <w:ilvl w:val="0"/>
          <w:numId w:val="1001"/>
        </w:numPr>
        <w:pStyle w:val="Compact"/>
      </w:pPr>
      <w:r>
        <w:t xml:space="preserve">The supplier warrants all items for a minimum period of two (2) years from the date of installation, covering manufacturing defects and material failures.</w:t>
      </w:r>
    </w:p>
    <w:p>
      <w:pPr>
        <w:numPr>
          <w:ilvl w:val="0"/>
          <w:numId w:val="1001"/>
        </w:numPr>
        <w:pStyle w:val="Compact"/>
      </w:pPr>
      <w:r>
        <w:t xml:space="preserve">Payment shall be made via bank transfer to the supplier’s designated account within thirty (30) days of successful delivery, installation, and written acceptance by the Administrative Officer of the Judge’s office.</w:t>
      </w:r>
    </w:p>
    <w:p>
      <w:pPr>
        <w:numPr>
          <w:ilvl w:val="0"/>
          <w:numId w:val="1001"/>
        </w:numPr>
        <w:pStyle w:val="Compact"/>
      </w:pPr>
      <w:r>
        <w:t xml:space="preserve">Any delay in delivery beyond the stipulated date shall incur a penalty of 0.5% of the total Purchase Order value per day of delay, up to a maximum of 10%.</w:t>
      </w:r>
    </w:p>
    <w:p>
      <w:pPr>
        <w:numPr>
          <w:ilvl w:val="0"/>
          <w:numId w:val="1001"/>
        </w:numPr>
        <w:pStyle w:val="Compact"/>
      </w:pPr>
      <w:r>
        <w:t xml:space="preserve">The supplier shall provide all necessary documentation, including certificates of origin, warranty cards, and technical manuals in both Persian (Farsi) and English.</w:t>
      </w:r>
    </w:p>
    <w:p>
      <w:pPr>
        <w:numPr>
          <w:ilvl w:val="0"/>
          <w:numId w:val="1001"/>
        </w:numPr>
        <w:pStyle w:val="Compact"/>
      </w:pPr>
      <w:r>
        <w:t xml:space="preserve">This Purchase Order may not be transferred or assigned to any third party without the prior written consent of the Judiciary of Iran, Tehran District Court.</w:t>
      </w:r>
    </w:p>
    <w:p>
      <w:pPr>
        <w:numPr>
          <w:ilvl w:val="0"/>
          <w:numId w:val="1001"/>
        </w:numPr>
        <w:pStyle w:val="Compact"/>
      </w:pPr>
      <w:r>
        <w:t xml:space="preserve">All disputes arising from this Purchase Order shall be resolved through the competent judicial authorities in Tehran, Iran.</w:t>
      </w:r>
    </w:p>
    <w:p>
      <w:pPr>
        <w:numPr>
          <w:ilvl w:val="0"/>
          <w:numId w:val="1001"/>
        </w:numPr>
        <w:pStyle w:val="Compact"/>
      </w:pPr>
      <w:r>
        <w:t xml:space="preserve">The supplier acknowledges that all items procured under this Purchase Order are for the exclusive use of the Honorable Judge and the Tehran District Court and shall not be repurposed or resold.</w:t>
      </w:r>
    </w:p>
    <w:bookmarkEnd w:id="26"/>
    <w:bookmarkStart w:id="27" w:name="acceptance-and-authorization"/>
    <w:p>
      <w:pPr>
        <w:pStyle w:val="Heading2"/>
      </w:pPr>
      <w:r>
        <w:t xml:space="preserve">7. Acceptance and Authorization</w:t>
      </w:r>
    </w:p>
    <w:p>
      <w:pPr>
        <w:pStyle w:val="FirstParagraph"/>
      </w:pPr>
      <w:r>
        <w:t xml:space="preserve">This Purchase Order is issued under the authority of the Honorable Judge of the Tehran District Court and has been reviewed and approved by the Administrative and Financial Department of the Judiciary of Iran. The undersigned parties confirm their agreement to all terms, conditions, and specifications outlined in this document.</w:t>
      </w:r>
    </w:p>
    <w:bookmarkEnd w:id="27"/>
    <w:p>
      <w:pPr>
        <w:pStyle w:val="BodyText"/>
      </w:pPr>
      <w:r>
        <w:rPr>
          <w:bCs/>
          <w:b/>
        </w:rPr>
        <w:t xml:space="preserve">For the Buyer (Judiciary of Iran, Tehran):</w:t>
      </w:r>
    </w:p>
    <w:p>
      <w:pPr>
        <w:pStyle w:val="BodyText"/>
      </w:pPr>
      <w:r>
        <w:rPr>
          <w:bCs/>
          <w:b/>
        </w:rPr>
        <w:t xml:space="preserve">Reza Ahmadi</w:t>
      </w:r>
      <w:r>
        <w:br/>
      </w:r>
      <w:r>
        <w:t xml:space="preserve">Administrative Officer, Office of the Judge</w:t>
      </w:r>
      <w:r>
        <w:br/>
      </w:r>
      <w:r>
        <w:t xml:space="preserve">Tehran District Court, Iran</w:t>
      </w:r>
      <w:r>
        <w:br/>
      </w:r>
      <w:r>
        <w:t xml:space="preserve">Date: _______________</w:t>
      </w:r>
    </w:p>
    <w:p>
      <w:pPr>
        <w:pStyle w:val="BodyText"/>
      </w:pPr>
      <w:r>
        <w:rPr>
          <w:bCs/>
          <w:b/>
        </w:rPr>
        <w:t xml:space="preserve">For the Supplier:</w:t>
      </w:r>
    </w:p>
    <w:p>
      <w:pPr>
        <w:pStyle w:val="BodyText"/>
      </w:pPr>
      <w:r>
        <w:rPr>
          <w:bCs/>
          <w:b/>
        </w:rPr>
        <w:t xml:space="preserve">Fatemeh Karimi</w:t>
      </w:r>
      <w:r>
        <w:br/>
      </w:r>
      <w:r>
        <w:t xml:space="preserve">Sales Director</w:t>
      </w:r>
      <w:r>
        <w:br/>
      </w:r>
      <w:r>
        <w:t xml:space="preserve">Tehran Judicial Furnishings &amp; Technology Co., Ltd.</w:t>
      </w:r>
      <w:r>
        <w:br/>
      </w:r>
      <w:r>
        <w:t xml:space="preserve">Date: _______________</w:t>
      </w:r>
    </w:p>
    <w:p>
      <w:pPr>
        <w:pStyle w:val="BodyText"/>
      </w:pPr>
      <w:r>
        <w:t xml:space="preserve">Purchase Order No. PO-IRN-THR-2025-04782 — Judicial Office of the Honorable Judge — Tehran, Iran</w:t>
      </w:r>
    </w:p>
    <w:p>
      <w:pPr>
        <w:pStyle w:val="BodyText"/>
      </w:pPr>
      <w:r>
        <w:t xml:space="preserve">This document is the property of the Judiciary of the Islamic Republic of Iran. Unauthorized reproduction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Judicial Office Equipment - Tehran, Iran</dc:title>
  <dc:creator/>
  <dc:language>en</dc:language>
  <cp:keywords/>
  <dcterms:created xsi:type="dcterms:W3CDTF">2026-10-10T06:39:11Z</dcterms:created>
  <dcterms:modified xsi:type="dcterms:W3CDTF">2026-10-10T06:39:11Z</dcterms:modified>
</cp:coreProperties>
</file>

<file path=docProps/custom.xml><?xml version="1.0" encoding="utf-8"?>
<Properties xmlns="http://schemas.openxmlformats.org/officeDocument/2006/custom-properties" xmlns:vt="http://schemas.openxmlformats.org/officeDocument/2006/docPropsVTypes"/>
</file>