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Judicial</w:t>
      </w:r>
      <w:r>
        <w:t xml:space="preserve"> </w:t>
      </w:r>
      <w:r>
        <w:t xml:space="preserve">Supplies</w:t>
      </w:r>
      <w:r>
        <w:t xml:space="preserve"> </w:t>
      </w:r>
      <w:r>
        <w:t xml:space="preserve">-</w:t>
      </w:r>
      <w:r>
        <w:t xml:space="preserve"> </w:t>
      </w:r>
      <w:r>
        <w:t xml:space="preserve">Israel</w:t>
      </w:r>
      <w:r>
        <w:t xml:space="preserve"> </w:t>
      </w:r>
      <w:r>
        <w:t xml:space="preserve">Jerusalem</w:t>
      </w:r>
    </w:p>
    <w:bookmarkStart w:id="27" w:name="purchase-order"/>
    <w:p>
      <w:pPr>
        <w:pStyle w:val="Heading1"/>
      </w:pPr>
      <w:r>
        <w:t xml:space="preserve">PURCHASE ORDER</w:t>
      </w:r>
    </w:p>
    <w:p>
      <w:pPr>
        <w:pStyle w:val="FirstParagraph"/>
      </w:pPr>
      <w:r>
        <w:t xml:space="preserve">Official Judicial Procurement Document — State of Israel, Jerusalem District</w:t>
      </w:r>
    </w:p>
    <w:p>
      <w:pPr>
        <w:pStyle w:val="BodyText"/>
      </w:pPr>
      <w:r>
        <w:rPr>
          <w:bCs/>
          <w:b/>
        </w:rPr>
        <w:t xml:space="preserve">Purchase Order No.:</w:t>
      </w:r>
      <w:r>
        <w:t xml:space="preserve"> </w:t>
      </w:r>
      <w:r>
        <w:t xml:space="preserve">PO-JER-2025-04871</w:t>
      </w:r>
      <w:r>
        <w:br/>
      </w:r>
      <w:r>
        <w:rPr>
          <w:bCs/>
          <w:b/>
        </w:rPr>
        <w:t xml:space="preserve">Date of Issue:</w:t>
      </w:r>
      <w:r>
        <w:t xml:space="preserve"> </w:t>
      </w:r>
      <w:r>
        <w:t xml:space="preserve">14 June 2025</w:t>
      </w:r>
      <w:r>
        <w:br/>
      </w:r>
      <w:r>
        <w:rPr>
          <w:bCs/>
          <w:b/>
        </w:rPr>
        <w:t xml:space="preserve">Valid Until:</w:t>
      </w:r>
      <w:r>
        <w:t xml:space="preserve"> </w:t>
      </w:r>
      <w:r>
        <w:t xml:space="preserve">14 September 2025</w:t>
      </w:r>
      <w:r>
        <w:br/>
      </w:r>
      <w:r>
        <w:rPr>
          <w:bCs/>
          <w:b/>
        </w:rPr>
        <w:t xml:space="preserve">Priority:</w:t>
      </w:r>
      <w:r>
        <w:t xml:space="preserve"> </w:t>
      </w:r>
      <w:r>
        <w:t xml:space="preserve">Standard — Judicial Administration</w:t>
      </w:r>
    </w:p>
    <w:p>
      <w:pPr>
        <w:pStyle w:val="BodyText"/>
      </w:pPr>
      <w:r>
        <w:rPr>
          <w:bCs/>
          <w:b/>
        </w:rPr>
        <w:t xml:space="preserve">Issuing Authority:</w:t>
      </w:r>
      <w:r>
        <w:br/>
      </w:r>
      <w:r>
        <w:t xml:space="preserve">Supreme Court of Israel — Jerusalem Chambers</w:t>
      </w:r>
      <w:r>
        <w:br/>
      </w:r>
      <w:r>
        <w:t xml:space="preserve">Office of the Chief Judge, Israel Jerusalem</w:t>
      </w:r>
      <w:r>
        <w:br/>
      </w:r>
      <w:r>
        <w:t xml:space="preserve">1 Givat HaMivtar, Jerusalem 97101, Israel</w:t>
      </w:r>
      <w:r>
        <w:br/>
      </w:r>
      <w:r>
        <w:t xml:space="preserve">Tel: +972-2-530-1100</w:t>
      </w:r>
      <w:r>
        <w:br/>
      </w:r>
      <w:r>
        <w:t xml:space="preserve">Email: procurement@courts.gov.il</w:t>
      </w:r>
    </w:p>
    <w:bookmarkStart w:id="20" w:name="parties-to-this-purchase-order"/>
    <w:p>
      <w:pPr>
        <w:pStyle w:val="Heading2"/>
      </w:pPr>
      <w:r>
        <w:t xml:space="preserve">1. Parties to This Purchase Order</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Role</w:t>
            </w:r>
          </w:p>
        </w:tc>
        <w:tc>
          <w:tcPr/>
          <w:p>
            <w:pPr>
              <w:pStyle w:val="Compact"/>
              <w:jc w:val="left"/>
            </w:pPr>
            <w:r>
              <w:t xml:space="preserve">Entity</w:t>
            </w:r>
          </w:p>
        </w:tc>
        <w:tc>
          <w:tcPr/>
          <w:p>
            <w:pPr>
              <w:pStyle w:val="Compact"/>
              <w:jc w:val="left"/>
            </w:pPr>
            <w:r>
              <w:t xml:space="preserve">Address</w:t>
            </w:r>
          </w:p>
        </w:tc>
        <w:tc>
          <w:tcPr/>
          <w:p>
            <w:pPr>
              <w:pStyle w:val="Compact"/>
              <w:jc w:val="left"/>
            </w:pPr>
            <w:r>
              <w:t xml:space="preserve">Contact</w:t>
            </w:r>
          </w:p>
        </w:tc>
      </w:tr>
      <w:tr>
        <w:tc>
          <w:tcPr/>
          <w:p>
            <w:pPr>
              <w:pStyle w:val="Compact"/>
              <w:jc w:val="left"/>
            </w:pPr>
            <w:r>
              <w:rPr>
                <w:bCs/>
                <w:b/>
              </w:rPr>
              <w:t xml:space="preserve">Buyer (Purchasing Authority)</w:t>
            </w:r>
          </w:p>
        </w:tc>
        <w:tc>
          <w:tcPr/>
          <w:p>
            <w:pPr>
              <w:pStyle w:val="Compact"/>
              <w:jc w:val="left"/>
            </w:pPr>
            <w:r>
              <w:t xml:space="preserve">Office of the Chief Judge, Supreme Court of Israel, Israel Jerusalem</w:t>
            </w:r>
          </w:p>
        </w:tc>
        <w:tc>
          <w:tcPr/>
          <w:p>
            <w:pPr>
              <w:pStyle w:val="Compact"/>
              <w:jc w:val="left"/>
            </w:pPr>
            <w:r>
              <w:t xml:space="preserve">1 Givat HaMivtar, Jerusalem 97101, Israel</w:t>
            </w:r>
          </w:p>
        </w:tc>
        <w:tc>
          <w:tcPr/>
          <w:p>
            <w:pPr>
              <w:pStyle w:val="Compact"/>
              <w:jc w:val="left"/>
            </w:pPr>
            <w:r>
              <w:t xml:space="preserve">Mr. David Levi, Procurement Officer</w:t>
            </w:r>
          </w:p>
        </w:tc>
      </w:tr>
      <w:tr>
        <w:tc>
          <w:tcPr/>
          <w:p>
            <w:pPr>
              <w:pStyle w:val="Compact"/>
              <w:jc w:val="left"/>
            </w:pPr>
            <w:r>
              <w:rPr>
                <w:bCs/>
                <w:b/>
              </w:rPr>
              <w:t xml:space="preserve">Seller (Supplier)</w:t>
            </w:r>
          </w:p>
        </w:tc>
        <w:tc>
          <w:tcPr/>
          <w:p>
            <w:pPr>
              <w:pStyle w:val="Compact"/>
              <w:jc w:val="left"/>
            </w:pPr>
            <w:r>
              <w:t xml:space="preserve">Jerusalem Judicial Furnishings &amp; Legal Supplies Ltd.</w:t>
            </w:r>
          </w:p>
        </w:tc>
        <w:tc>
          <w:tcPr/>
          <w:p>
            <w:pPr>
              <w:pStyle w:val="Compact"/>
              <w:jc w:val="left"/>
            </w:pPr>
            <w:r>
              <w:t xml:space="preserve">42 King George Street, Jerusalem 91000, Israel</w:t>
            </w:r>
          </w:p>
        </w:tc>
        <w:tc>
          <w:tcPr/>
          <w:p>
            <w:pPr>
              <w:pStyle w:val="Compact"/>
              <w:jc w:val="left"/>
            </w:pPr>
            <w:r>
              <w:t xml:space="preserve">Ms. Rachel Ben-Ami, Sales Director</w:t>
            </w:r>
          </w:p>
        </w:tc>
      </w:tr>
    </w:tbl>
    <w:bookmarkEnd w:id="20"/>
    <w:bookmarkStart w:id="21" w:name="purpose-and-scope-of-this-purchase-order"/>
    <w:p>
      <w:pPr>
        <w:pStyle w:val="Heading2"/>
      </w:pPr>
      <w:r>
        <w:t xml:space="preserve">2. Purpose and Scope of This Purchase Order</w:t>
      </w:r>
    </w:p>
    <w:p>
      <w:pPr>
        <w:pStyle w:val="FirstParagraph"/>
      </w:pPr>
      <w:r>
        <w:t xml:space="preserve">This Purchase Order is issued by the Office of the Chief Judge at the Supreme Court of Israel, located in Israel Jerusalem, for the procurement of judicial equipment, ceremonial items, office furnishings, and legal reference materials required for the proper conduct of judicial proceedings. The items specified herein are intended to equip the chambers and hearing rooms assigned to the Honorable Judge serving in the Jerusalem District Court and the Supreme Court bench in Israel Jerusalem. All goods must meet the standards prescribed by the Israeli Ministry of Justice for judicial equipment and must be delivered to the designated court facilities in Israel Jerusalem within the timeframe stated in this Purchase Order.</w:t>
      </w:r>
    </w:p>
    <w:bookmarkEnd w:id="21"/>
    <w:bookmarkStart w:id="22" w:name="itemized-list-of-goods-and-services"/>
    <w:p>
      <w:pPr>
        <w:pStyle w:val="Heading2"/>
      </w:pPr>
      <w:r>
        <w:t xml:space="preserve">3. Itemized List of Goods and Services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(ILS)</w:t>
            </w:r>
          </w:p>
        </w:tc>
        <w:tc>
          <w:tcPr/>
          <w:p>
            <w:pPr>
              <w:pStyle w:val="Compact"/>
              <w:jc w:val="left"/>
            </w:pPr>
            <w:r>
              <w:t xml:space="preserve">Total (ILS)</w:t>
            </w:r>
          </w:p>
        </w:tc>
      </w:tr>
      <w:tr>
        <w:tc>
          <w:tcPr/>
          <w:p>
            <w:pPr>
              <w:pStyle w:val="Compact"/>
              <w:jc w:val="left"/>
            </w:pPr>
            <w:r>
              <w:t xml:space="preserve">01</w:t>
            </w:r>
          </w:p>
        </w:tc>
        <w:tc>
          <w:tcPr/>
          <w:p>
            <w:pPr>
              <w:pStyle w:val="Compact"/>
              <w:jc w:val="left"/>
            </w:pPr>
            <w:r>
              <w:t xml:space="preserve">Judge’s ceremonial robe (black, full-length, with gold embroidery per Israeli judicial protocol), size XL, for the presiding Judge in Israel Jerusalem</w:t>
            </w:r>
          </w:p>
        </w:tc>
        <w:tc>
          <w:tcPr/>
          <w:p>
            <w:pPr>
              <w:pStyle w:val="Compact"/>
              <w:jc w:val="left"/>
            </w:pPr>
            <w:r>
              <w:t xml:space="preserve">2</w:t>
            </w:r>
          </w:p>
        </w:tc>
        <w:tc>
          <w:tcPr/>
          <w:p>
            <w:pPr>
              <w:pStyle w:val="Compact"/>
              <w:jc w:val="left"/>
            </w:pPr>
            <w:r>
              <w:t xml:space="preserve">3,200.00</w:t>
            </w:r>
          </w:p>
        </w:tc>
        <w:tc>
          <w:tcPr/>
          <w:p>
            <w:pPr>
              <w:pStyle w:val="Compact"/>
              <w:jc w:val="left"/>
            </w:pPr>
            <w:r>
              <w:t xml:space="preserve">6,400.00</w:t>
            </w:r>
          </w:p>
        </w:tc>
      </w:tr>
      <w:tr>
        <w:tc>
          <w:tcPr/>
          <w:p>
            <w:pPr>
              <w:pStyle w:val="Compact"/>
              <w:jc w:val="left"/>
            </w:pPr>
            <w:r>
              <w:t xml:space="preserve">02</w:t>
            </w:r>
          </w:p>
        </w:tc>
        <w:tc>
          <w:tcPr/>
          <w:p>
            <w:pPr>
              <w:pStyle w:val="Compact"/>
              <w:jc w:val="left"/>
            </w:pPr>
            <w:r>
              <w:t xml:space="preserve">Judge’s gavel (solid walnut wood, 18 cm, with leather-wrapped handle and engraved base reading “Supreme Court of Israel, Jerusalem”)</w:t>
            </w:r>
          </w:p>
        </w:tc>
        <w:tc>
          <w:tcPr/>
          <w:p>
            <w:pPr>
              <w:pStyle w:val="Compact"/>
              <w:jc w:val="left"/>
            </w:pPr>
            <w:r>
              <w:t xml:space="preserve">1</w:t>
            </w:r>
          </w:p>
        </w:tc>
        <w:tc>
          <w:tcPr/>
          <w:p>
            <w:pPr>
              <w:pStyle w:val="Compact"/>
              <w:jc w:val="left"/>
            </w:pPr>
            <w:r>
              <w:t xml:space="preserve">1,850.00</w:t>
            </w:r>
          </w:p>
        </w:tc>
        <w:tc>
          <w:tcPr/>
          <w:p>
            <w:pPr>
              <w:pStyle w:val="Compact"/>
              <w:jc w:val="left"/>
            </w:pPr>
            <w:r>
              <w:t xml:space="preserve">1,850.00</w:t>
            </w:r>
          </w:p>
        </w:tc>
      </w:tr>
      <w:tr>
        <w:tc>
          <w:tcPr/>
          <w:p>
            <w:pPr>
              <w:pStyle w:val="Compact"/>
              <w:jc w:val="left"/>
            </w:pPr>
            <w:r>
              <w:t xml:space="preserve">03</w:t>
            </w:r>
          </w:p>
        </w:tc>
        <w:tc>
          <w:tcPr/>
          <w:p>
            <w:pPr>
              <w:pStyle w:val="Compact"/>
              <w:jc w:val="left"/>
            </w:pPr>
            <w:r>
              <w:t xml:space="preserve">Judge’s bench (custom mahogany, 220 cm wide, with integrated document tray, microphone mount, and built-in lighting for the Judge’s chamber in Israel Jerusalem)</w:t>
            </w:r>
          </w:p>
        </w:tc>
        <w:tc>
          <w:tcPr/>
          <w:p>
            <w:pPr>
              <w:pStyle w:val="Compact"/>
              <w:jc w:val="left"/>
            </w:pPr>
            <w:r>
              <w:t xml:space="preserve">1</w:t>
            </w:r>
          </w:p>
        </w:tc>
        <w:tc>
          <w:tcPr/>
          <w:p>
            <w:pPr>
              <w:pStyle w:val="Compact"/>
              <w:jc w:val="left"/>
            </w:pPr>
            <w:r>
              <w:t xml:space="preserve">28,500.00</w:t>
            </w:r>
          </w:p>
        </w:tc>
        <w:tc>
          <w:tcPr/>
          <w:p>
            <w:pPr>
              <w:pStyle w:val="Compact"/>
              <w:jc w:val="left"/>
            </w:pPr>
            <w:r>
              <w:t xml:space="preserve">28,500.00</w:t>
            </w:r>
          </w:p>
        </w:tc>
      </w:tr>
      <w:tr>
        <w:tc>
          <w:tcPr/>
          <w:p>
            <w:pPr>
              <w:pStyle w:val="Compact"/>
              <w:jc w:val="left"/>
            </w:pPr>
            <w:r>
              <w:t xml:space="preserve">04</w:t>
            </w:r>
          </w:p>
        </w:tc>
        <w:tc>
          <w:tcPr/>
          <w:p>
            <w:pPr>
              <w:pStyle w:val="Compact"/>
              <w:jc w:val="left"/>
            </w:pPr>
            <w:r>
              <w:t xml:space="preserve">Judge’s executive desk chair (ergonomic, black leather, adjustable lumbar support, casters, meeting Israeli workplace safety standards)</w:t>
            </w:r>
          </w:p>
        </w:tc>
        <w:tc>
          <w:tcPr/>
          <w:p>
            <w:pPr>
              <w:pStyle w:val="Compact"/>
              <w:jc w:val="left"/>
            </w:pPr>
            <w:r>
              <w:t xml:space="preserve">1</w:t>
            </w:r>
          </w:p>
        </w:tc>
        <w:tc>
          <w:tcPr/>
          <w:p>
            <w:pPr>
              <w:pStyle w:val="Compact"/>
              <w:jc w:val="left"/>
            </w:pPr>
            <w:r>
              <w:t xml:space="preserve">4,700.00</w:t>
            </w:r>
          </w:p>
        </w:tc>
        <w:tc>
          <w:tcPr/>
          <w:p>
            <w:pPr>
              <w:pStyle w:val="Compact"/>
              <w:jc w:val="left"/>
            </w:pPr>
            <w:r>
              <w:t xml:space="preserve">4,700.00</w:t>
            </w:r>
          </w:p>
        </w:tc>
      </w:tr>
      <w:tr>
        <w:tc>
          <w:tcPr/>
          <w:p>
            <w:pPr>
              <w:pStyle w:val="Compact"/>
              <w:jc w:val="left"/>
            </w:pPr>
            <w:r>
              <w:t xml:space="preserve">05</w:t>
            </w:r>
          </w:p>
        </w:tc>
        <w:tc>
          <w:tcPr/>
          <w:p>
            <w:pPr>
              <w:pStyle w:val="Compact"/>
              <w:jc w:val="left"/>
            </w:pPr>
            <w:r>
              <w:t xml:space="preserve">Complete set of Israeli legal reference volumes (Bibum HaMishpat, 2025 edition, 12 volumes, for the Judge’s personal library in Israel Jerusalem)</w:t>
            </w:r>
          </w:p>
        </w:tc>
        <w:tc>
          <w:tcPr/>
          <w:p>
            <w:pPr>
              <w:pStyle w:val="Compact"/>
              <w:jc w:val="left"/>
            </w:pPr>
            <w:r>
              <w:t xml:space="preserve">1</w:t>
            </w:r>
          </w:p>
        </w:tc>
        <w:tc>
          <w:tcPr/>
          <w:p>
            <w:pPr>
              <w:pStyle w:val="Compact"/>
              <w:jc w:val="left"/>
            </w:pPr>
            <w:r>
              <w:t xml:space="preserve">12,300.00</w:t>
            </w:r>
          </w:p>
        </w:tc>
        <w:tc>
          <w:tcPr/>
          <w:p>
            <w:pPr>
              <w:pStyle w:val="Compact"/>
              <w:jc w:val="left"/>
            </w:pPr>
            <w:r>
              <w:t xml:space="preserve">12,300.00</w:t>
            </w:r>
          </w:p>
        </w:tc>
      </w:tr>
      <w:tr>
        <w:tc>
          <w:tcPr/>
          <w:p>
            <w:pPr>
              <w:pStyle w:val="Compact"/>
              <w:jc w:val="left"/>
            </w:pPr>
            <w:r>
              <w:t xml:space="preserve">06</w:t>
            </w:r>
          </w:p>
        </w:tc>
        <w:tc>
          <w:tcPr/>
          <w:p>
            <w:pPr>
              <w:pStyle w:val="Compact"/>
              <w:jc w:val="left"/>
            </w:pPr>
            <w:r>
              <w:t xml:space="preserve">Digital case management terminal (27-inch 4K display, Intel i9 processor, 64 GB RAM, 2 TB SSD, encrypted storage, pre-loaded with Israeli judicial software)</w:t>
            </w:r>
          </w:p>
        </w:tc>
        <w:tc>
          <w:tcPr/>
          <w:p>
            <w:pPr>
              <w:pStyle w:val="Compact"/>
              <w:jc w:val="left"/>
            </w:pPr>
            <w:r>
              <w:t xml:space="preserve">2</w:t>
            </w:r>
          </w:p>
        </w:tc>
        <w:tc>
          <w:tcPr/>
          <w:p>
            <w:pPr>
              <w:pStyle w:val="Compact"/>
              <w:jc w:val="left"/>
            </w:pPr>
            <w:r>
              <w:t xml:space="preserve">18,900.00</w:t>
            </w:r>
          </w:p>
        </w:tc>
        <w:tc>
          <w:tcPr/>
          <w:p>
            <w:pPr>
              <w:pStyle w:val="Compact"/>
              <w:jc w:val="left"/>
            </w:pPr>
            <w:r>
              <w:t xml:space="preserve">37,800.00</w:t>
            </w:r>
          </w:p>
        </w:tc>
      </w:tr>
      <w:tr>
        <w:tc>
          <w:tcPr/>
          <w:p>
            <w:pPr>
              <w:pStyle w:val="Compact"/>
              <w:jc w:val="left"/>
            </w:pPr>
            <w:r>
              <w:t xml:space="preserve">07</w:t>
            </w:r>
          </w:p>
        </w:tc>
        <w:tc>
          <w:tcPr/>
          <w:p>
            <w:pPr>
              <w:pStyle w:val="Compact"/>
              <w:jc w:val="left"/>
            </w:pPr>
            <w:r>
              <w:t xml:space="preserve">Judge’s nameplate (brass, engraved, 30 cm × 10 cm, for the Judge’s bench in Israel Jerusalem)</w:t>
            </w:r>
          </w:p>
        </w:tc>
        <w:tc>
          <w:tcPr/>
          <w:p>
            <w:pPr>
              <w:pStyle w:val="Compact"/>
              <w:jc w:val="left"/>
            </w:pPr>
            <w:r>
              <w:t xml:space="preserve">1</w:t>
            </w:r>
          </w:p>
        </w:tc>
        <w:tc>
          <w:tcPr/>
          <w:p>
            <w:pPr>
              <w:pStyle w:val="Compact"/>
              <w:jc w:val="left"/>
            </w:pPr>
            <w:r>
              <w:t xml:space="preserve">950.00</w:t>
            </w:r>
          </w:p>
        </w:tc>
        <w:tc>
          <w:tcPr/>
          <w:p>
            <w:pPr>
              <w:pStyle w:val="Compact"/>
              <w:jc w:val="left"/>
            </w:pPr>
            <w:r>
              <w:t xml:space="preserve">950.00</w:t>
            </w:r>
          </w:p>
        </w:tc>
      </w:tr>
      <w:tr>
        <w:tc>
          <w:tcPr/>
          <w:p>
            <w:pPr>
              <w:pStyle w:val="Compact"/>
              <w:jc w:val="left"/>
            </w:pPr>
            <w:r>
              <w:t xml:space="preserve">08</w:t>
            </w:r>
          </w:p>
        </w:tc>
        <w:tc>
          <w:tcPr/>
          <w:p>
            <w:pPr>
              <w:pStyle w:val="Compact"/>
              <w:jc w:val="left"/>
            </w:pPr>
            <w:r>
              <w:t xml:space="preserve">Secure document storage cabinet (fire-rated, 120 cm, with electronic lock, for sensitive case files of the Judge)</w:t>
            </w:r>
          </w:p>
        </w:tc>
        <w:tc>
          <w:tcPr/>
          <w:p>
            <w:pPr>
              <w:pStyle w:val="Compact"/>
              <w:jc w:val="left"/>
            </w:pPr>
            <w:r>
              <w:t xml:space="preserve">1</w:t>
            </w:r>
          </w:p>
        </w:tc>
        <w:tc>
          <w:tcPr/>
          <w:p>
            <w:pPr>
              <w:pStyle w:val="Compact"/>
              <w:jc w:val="left"/>
            </w:pPr>
            <w:r>
              <w:t xml:space="preserve">7,200.00</w:t>
            </w:r>
          </w:p>
        </w:tc>
        <w:tc>
          <w:tcPr/>
          <w:p>
            <w:pPr>
              <w:pStyle w:val="Compact"/>
              <w:jc w:val="left"/>
            </w:pPr>
            <w:r>
              <w:t xml:space="preserve">7,200.00</w:t>
            </w:r>
          </w:p>
        </w:tc>
      </w:tr>
      <w:tr>
        <w:tc>
          <w:tcPr/>
          <w:p>
            <w:pPr>
              <w:pStyle w:val="Compact"/>
              <w:jc w:val="left"/>
            </w:pPr>
            <w:r>
              <w:t xml:space="preserve">09</w:t>
            </w:r>
          </w:p>
        </w:tc>
        <w:tc>
          <w:tcPr/>
          <w:p>
            <w:pPr>
              <w:pStyle w:val="Compact"/>
              <w:jc w:val="left"/>
            </w:pPr>
            <w:r>
              <w:t xml:space="preserve">Professional audio-visual recording system (4 microphones, 2 cameras, digital recorder, for courtroom proceedings presided over by the Judge in Israel Jerusalem)</w:t>
            </w:r>
          </w:p>
        </w:tc>
        <w:tc>
          <w:tcPr/>
          <w:p>
            <w:pPr>
              <w:pStyle w:val="Compact"/>
              <w:jc w:val="left"/>
            </w:pPr>
            <w:r>
              <w:t xml:space="preserve">1</w:t>
            </w:r>
          </w:p>
        </w:tc>
        <w:tc>
          <w:tcPr/>
          <w:p>
            <w:pPr>
              <w:pStyle w:val="Compact"/>
              <w:jc w:val="left"/>
            </w:pPr>
            <w:r>
              <w:t xml:space="preserve">22,400.00</w:t>
            </w:r>
          </w:p>
        </w:tc>
        <w:tc>
          <w:tcPr/>
          <w:p>
            <w:pPr>
              <w:pStyle w:val="Compact"/>
              <w:jc w:val="left"/>
            </w:pPr>
            <w:r>
              <w:t xml:space="preserve">22,400.00</w:t>
            </w:r>
          </w:p>
        </w:tc>
      </w:tr>
      <w:tr>
        <w:tc>
          <w:tcPr/>
          <w:p>
            <w:pPr>
              <w:pStyle w:val="Compact"/>
              <w:jc w:val="left"/>
            </w:pPr>
            <w:r>
              <w:t xml:space="preserve">10</w:t>
            </w:r>
          </w:p>
        </w:tc>
        <w:tc>
          <w:tcPr/>
          <w:p>
            <w:pPr>
              <w:pStyle w:val="Compact"/>
              <w:jc w:val="left"/>
            </w:pPr>
            <w:r>
              <w:t xml:space="preserve">Installation, calibration, and on-site training services for all electronic equipment delivered to the Judge’s chambers in Israel Jerusalem</w:t>
            </w:r>
          </w:p>
        </w:tc>
        <w:tc>
          <w:tcPr/>
          <w:p>
            <w:pPr>
              <w:pStyle w:val="Compact"/>
              <w:jc w:val="left"/>
            </w:pPr>
            <w:r>
              <w:t xml:space="preserve">1</w:t>
            </w:r>
          </w:p>
        </w:tc>
        <w:tc>
          <w:tcPr/>
          <w:p>
            <w:pPr>
              <w:pStyle w:val="Compact"/>
              <w:jc w:val="left"/>
            </w:pPr>
            <w:r>
              <w:t xml:space="preserve">5,600.00</w:t>
            </w:r>
          </w:p>
        </w:tc>
        <w:tc>
          <w:tcPr/>
          <w:p>
            <w:pPr>
              <w:pStyle w:val="Compact"/>
              <w:jc w:val="left"/>
            </w:pPr>
            <w:r>
              <w:t xml:space="preserve">5,600.00</w:t>
            </w:r>
          </w:p>
        </w:tc>
      </w:tr>
    </w:tbl>
    <w:bookmarkEnd w:id="22"/>
    <w:bookmarkStart w:id="23" w:name="financial-summary"/>
    <w:p>
      <w:pPr>
        <w:pStyle w:val="Heading2"/>
      </w:pPr>
      <w:r>
        <w:t xml:space="preserve">4. Financial Summary</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Subtotal</w:t>
            </w:r>
          </w:p>
        </w:tc>
        <w:tc>
          <w:tcPr/>
          <w:p>
            <w:pPr>
              <w:pStyle w:val="Compact"/>
              <w:jc w:val="left"/>
            </w:pPr>
            <w:r>
              <w:t xml:space="preserve">VAT (18%)</w:t>
            </w:r>
          </w:p>
        </w:tc>
        <w:tc>
          <w:tcPr/>
          <w:p>
            <w:pPr>
              <w:pStyle w:val="Compact"/>
              <w:jc w:val="left"/>
            </w:pPr>
            <w:r>
              <w:t xml:space="preserve">Shipping &amp; Handling</w:t>
            </w:r>
          </w:p>
        </w:tc>
        <w:tc>
          <w:tcPr/>
          <w:p>
            <w:pPr>
              <w:pStyle w:val="Compact"/>
              <w:jc w:val="left"/>
            </w:pPr>
            <w:r>
              <w:t xml:space="preserve">Grand Total (ILS)</w:t>
            </w:r>
          </w:p>
        </w:tc>
      </w:tr>
      <w:tr>
        <w:tc>
          <w:tcPr/>
          <w:p>
            <w:pPr>
              <w:pStyle w:val="Compact"/>
              <w:jc w:val="left"/>
            </w:pPr>
            <w:r>
              <w:t xml:space="preserve">127,700.00</w:t>
            </w:r>
          </w:p>
        </w:tc>
        <w:tc>
          <w:tcPr/>
          <w:p>
            <w:pPr>
              <w:pStyle w:val="Compact"/>
              <w:jc w:val="left"/>
            </w:pPr>
            <w:r>
              <w:t xml:space="preserve">22,986.00</w:t>
            </w:r>
          </w:p>
        </w:tc>
        <w:tc>
          <w:tcPr/>
          <w:p>
            <w:pPr>
              <w:pStyle w:val="Compact"/>
              <w:jc w:val="left"/>
            </w:pPr>
            <w:r>
              <w:t xml:space="preserve">3,500.00</w:t>
            </w:r>
          </w:p>
        </w:tc>
        <w:tc>
          <w:tcPr/>
          <w:p>
            <w:pPr>
              <w:pStyle w:val="Compact"/>
              <w:jc w:val="left"/>
            </w:pPr>
            <w:r>
              <w:t xml:space="preserve">154,186.00</w:t>
            </w:r>
          </w:p>
        </w:tc>
      </w:tr>
    </w:tbl>
    <w:p>
      <w:pPr>
        <w:pStyle w:val="BodyText"/>
      </w:pPr>
      <w:r>
        <w:t xml:space="preserve">All prices are quoted in Israeli New Shekels (ILS). Payment shall be made via bank transfer to the supplier’s designated account in Israel Jerusalem within thirty (30) calendar days of confirmed delivery and acceptance of goods.</w:t>
      </w:r>
    </w:p>
    <w:bookmarkEnd w:id="23"/>
    <w:bookmarkStart w:id="24" w:name="delivery-and-acceptance-terms"/>
    <w:p>
      <w:pPr>
        <w:pStyle w:val="Heading2"/>
      </w:pPr>
      <w:r>
        <w:t xml:space="preserve">5. Delivery and Acceptance Terms</w:t>
      </w:r>
    </w:p>
    <w:p>
      <w:pPr>
        <w:pStyle w:val="FirstParagraph"/>
      </w:pPr>
      <w:r>
        <w:t xml:space="preserve">The supplier shall deliver all items specified in this Purchase Order to the Supreme Court of Israel, Givat HaMivtar, Israel Jerusalem, no later than 31 July 2025. Delivery must be scheduled in coordination with the Office of the Chief Judge to ensure minimal disruption to ongoing judicial proceedings. Upon arrival, the designated receiving officer at the Israel Jerusalem court facility shall inspect all goods for conformity with the specifications outlined in this Purchase Order. Any item found to be defective, damaged, or non-conforming shall be rejected in writing within five (5) business days, and the supplier shall replace or repair the item at no additional cost within fourteen (14) business days.</w:t>
      </w:r>
    </w:p>
    <w:bookmarkEnd w:id="24"/>
    <w:bookmarkStart w:id="25" w:name="terms-and-conditions"/>
    <w:p>
      <w:pPr>
        <w:pStyle w:val="Heading2"/>
      </w:pPr>
      <w:r>
        <w:t xml:space="preserve">6. Terms and Conditions</w:t>
      </w:r>
    </w:p>
    <w:p>
      <w:pPr>
        <w:pStyle w:val="FirstParagraph"/>
      </w:pPr>
      <w:r>
        <w:t xml:space="preserve">This Purchase Order is governed by the laws of the State of Israel. All disputes arising from this Purchase Order shall be subject to the exclusive jurisdiction of the courts in Israel Jerusalem. The supplier warrants that all goods are new, of the highest quality, and free from defects in materials and workmanship. The supplier shall comply with all applicable Israeli labor, safety, and environmental regulations. This Purchase Order may not be assigned or subcontracted without the prior written consent of the Office of the Chief Judge. The supplier acknowledges that the items procured under this Purchase Order are intended for the exclusive use of the Judge and the judicial administration in Israel Jerusalem and shall not be resold or transferred to any third party.</w:t>
      </w:r>
    </w:p>
    <w:bookmarkEnd w:id="25"/>
    <w:bookmarkStart w:id="26" w:name="authorization-and-signatures"/>
    <w:p>
      <w:pPr>
        <w:pStyle w:val="Heading2"/>
      </w:pPr>
      <w:r>
        <w:t xml:space="preserve">7. Authorization and Signatures</w:t>
      </w:r>
    </w:p>
    <w:p>
      <w:pPr>
        <w:pStyle w:val="FirstParagraph"/>
      </w:pPr>
      <w:r>
        <w:rPr>
          <w:bCs/>
          <w:b/>
        </w:rPr>
        <w:t xml:space="preserve">For the Purchasing Authority:</w:t>
      </w:r>
    </w:p>
    <w:p>
      <w:pPr>
        <w:pStyle w:val="BodyText"/>
      </w:pPr>
      <w:r>
        <w:t xml:space="preserve">Office of the Chief Judge</w:t>
      </w:r>
      <w:r>
        <w:br/>
      </w:r>
      <w:r>
        <w:t xml:space="preserve">Supreme Court of Israel, Israel Jerusalem</w:t>
      </w:r>
    </w:p>
    <w:p>
      <w:pPr>
        <w:pStyle w:val="BodyText"/>
      </w:pPr>
      <w:r>
        <w:t xml:space="preserve">Name: David Levi</w:t>
      </w:r>
      <w:r>
        <w:br/>
      </w:r>
      <w:r>
        <w:t xml:space="preserve">Title: Procurement Officer</w:t>
      </w:r>
      <w:r>
        <w:br/>
      </w:r>
      <w:r>
        <w:t xml:space="preserve">Date: _______________</w:t>
      </w:r>
    </w:p>
    <w:p>
      <w:pPr>
        <w:pStyle w:val="BodyText"/>
      </w:pPr>
      <w:r>
        <w:rPr>
          <w:bCs/>
          <w:b/>
        </w:rPr>
        <w:t xml:space="preserve">For the Supplier:</w:t>
      </w:r>
    </w:p>
    <w:p>
      <w:pPr>
        <w:pStyle w:val="BodyText"/>
      </w:pPr>
      <w:r>
        <w:t xml:space="preserve">Jerusalem Judicial Furnishings &amp; Legal Supplies Ltd.</w:t>
      </w:r>
    </w:p>
    <w:p>
      <w:pPr>
        <w:pStyle w:val="BodyText"/>
      </w:pPr>
      <w:r>
        <w:t xml:space="preserve">Name: Rachel Ben-Ami</w:t>
      </w:r>
      <w:r>
        <w:br/>
      </w:r>
      <w:r>
        <w:t xml:space="preserve">Title: Sales Director</w:t>
      </w:r>
      <w:r>
        <w:br/>
      </w:r>
      <w:r>
        <w:t xml:space="preserve">Date: _______________</w:t>
      </w:r>
    </w:p>
    <w:p>
      <w:pPr>
        <w:pStyle w:val="BodyText"/>
      </w:pPr>
      <w:r>
        <w:t xml:space="preserve">This Purchase Order document (PO-JER-2025-04871) is an official record of the State of Israel, Jerusalem District. Unauthorized reproduction or distribution is prohibited. For inquiries regarding this Purchase Order, contact the Office of the Chief Judge, Supreme Court of Israel, Israel Jerusalem, at procurement@courts.gov.il.</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Judicial Supplies - Israel Jerusalem</dc:title>
  <dc:creator/>
  <dc:language>en</dc:language>
  <cp:keywords/>
  <dcterms:created xsi:type="dcterms:W3CDTF">2026-10-10T07:30:54Z</dcterms:created>
  <dcterms:modified xsi:type="dcterms:W3CDTF">2026-10-10T07:30:54Z</dcterms:modified>
</cp:coreProperties>
</file>

<file path=docProps/custom.xml><?xml version="1.0" encoding="utf-8"?>
<Properties xmlns="http://schemas.openxmlformats.org/officeDocument/2006/custom-properties" xmlns:vt="http://schemas.openxmlformats.org/officeDocument/2006/docPropsVTypes"/>
</file>