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w:t>
      </w:r>
      <w:r>
        <w:t xml:space="preserve"> </w:t>
      </w:r>
      <w:r>
        <w:t xml:space="preserve">Almaty,</w:t>
      </w:r>
      <w:r>
        <w:t xml:space="preserve"> </w:t>
      </w:r>
      <w:r>
        <w:t xml:space="preserve">Kazakhstan</w:t>
      </w:r>
    </w:p>
    <w:bookmarkStart w:id="20" w:name="purchase-order"/>
    <w:p>
      <w:pPr>
        <w:pStyle w:val="Heading1"/>
      </w:pPr>
      <w:r>
        <w:t xml:space="preserve">PURCHASE ORDER</w:t>
      </w:r>
    </w:p>
    <w:p>
      <w:pPr>
        <w:pStyle w:val="FirstParagraph"/>
      </w:pPr>
      <w:r>
        <w:t xml:space="preserve">Judicial Equipment and Systems for the Office of the Judge</w:t>
      </w:r>
    </w:p>
    <w:p>
      <w:pPr>
        <w:pStyle w:val="BodyText"/>
      </w:pPr>
      <w:r>
        <w:t xml:space="preserve">PO No. KZ-ALM-2025-04782</w:t>
      </w:r>
    </w:p>
    <w:bookmarkEnd w:id="20"/>
    <w:bookmarkStart w:id="21" w:name="document-details"/>
    <w:p>
      <w:pPr>
        <w:pStyle w:val="Heading2"/>
      </w:pPr>
      <w:r>
        <w:t xml:space="preserve">Document Details</w:t>
      </w:r>
    </w:p>
    <w:p>
      <w:pPr>
        <w:pStyle w:val="FirstParagraph"/>
      </w:pPr>
      <w:r>
        <w:t xml:space="preserve">Date of Issue:</w:t>
      </w:r>
      <w:r>
        <w:t xml:space="preserve"> </w:t>
      </w:r>
      <w:r>
        <w:t xml:space="preserve">15 June 2025</w:t>
      </w:r>
    </w:p>
    <w:p>
      <w:pPr>
        <w:pStyle w:val="BodyText"/>
      </w:pPr>
      <w:r>
        <w:t xml:space="preserve">Valid Until:</w:t>
      </w:r>
      <w:r>
        <w:t xml:space="preserve"> </w:t>
      </w:r>
      <w:r>
        <w:t xml:space="preserve">15 September 2025</w:t>
      </w:r>
    </w:p>
    <w:p>
      <w:pPr>
        <w:pStyle w:val="BodyText"/>
      </w:pPr>
      <w:r>
        <w:t xml:space="preserve">Currency:</w:t>
      </w:r>
      <w:r>
        <w:t xml:space="preserve"> </w:t>
      </w:r>
      <w:r>
        <w:t xml:space="preserve">Kazakhstani Tenge (KZT)</w:t>
      </w:r>
    </w:p>
    <w:p>
      <w:pPr>
        <w:pStyle w:val="BodyText"/>
      </w:pPr>
      <w:r>
        <w:t xml:space="preserve">Payment Terms:</w:t>
      </w:r>
      <w:r>
        <w:t xml:space="preserve"> </w:t>
      </w:r>
      <w:r>
        <w:t xml:space="preserve">Net 30 days from delivery</w:t>
      </w:r>
    </w:p>
    <w:p>
      <w:pPr>
        <w:pStyle w:val="BodyText"/>
      </w:pPr>
      <w:r>
        <w:t xml:space="preserve">Delivery Location:</w:t>
      </w:r>
      <w:r>
        <w:t xml:space="preserve"> </w:t>
      </w:r>
      <w:r>
        <w:t xml:space="preserve">Almaty, Kazakhstan</w:t>
      </w:r>
    </w:p>
    <w:p>
      <w:pPr>
        <w:pStyle w:val="BodyText"/>
      </w:pPr>
      <w:r>
        <w:t xml:space="preserve">Delivery Address:</w:t>
      </w:r>
      <w:r>
        <w:t xml:space="preserve"> </w:t>
      </w:r>
      <w:r>
        <w:t xml:space="preserve">12 Abai Avenue, Almaty, 050040, Republic of Kazakhstan</w:t>
      </w:r>
    </w:p>
    <w:p>
      <w:pPr>
        <w:pStyle w:val="BodyText"/>
      </w:pPr>
      <w:r>
        <w:t xml:space="preserve">Delivery Deadline:</w:t>
      </w:r>
      <w:r>
        <w:t xml:space="preserve"> </w:t>
      </w:r>
      <w:r>
        <w:t xml:space="preserve">30 July 2025</w:t>
      </w:r>
    </w:p>
    <w:p>
      <w:pPr>
        <w:pStyle w:val="BodyText"/>
      </w:pPr>
      <w:r>
        <w:t xml:space="preserve">Incoterms:</w:t>
      </w:r>
      <w:r>
        <w:t xml:space="preserve"> </w:t>
      </w:r>
      <w:r>
        <w:t xml:space="preserve">DDP (Delivered Duty Paid) Almaty</w:t>
      </w:r>
    </w:p>
    <w:bookmarkEnd w:id="21"/>
    <w:bookmarkStart w:id="22" w:name="buyer-information"/>
    <w:p>
      <w:pPr>
        <w:pStyle w:val="Heading2"/>
      </w:pPr>
      <w:r>
        <w:t xml:space="preserve">Buyer Information</w:t>
      </w:r>
    </w:p>
    <w:p>
      <w:pPr>
        <w:pStyle w:val="FirstParagraph"/>
      </w:pPr>
      <w:r>
        <w:t xml:space="preserve">Organization:</w:t>
      </w:r>
      <w:r>
        <w:t xml:space="preserve"> </w:t>
      </w:r>
      <w:r>
        <w:t xml:space="preserve">Supreme Court of the Republic of Kazakhstan – Almaty Regional Judicial Division</w:t>
      </w:r>
    </w:p>
    <w:p>
      <w:pPr>
        <w:pStyle w:val="BodyText"/>
      </w:pPr>
      <w:r>
        <w:t xml:space="preserve">Department:</w:t>
      </w:r>
      <w:r>
        <w:t xml:space="preserve"> </w:t>
      </w:r>
      <w:r>
        <w:t xml:space="preserve">Office of the Judge, Civil Division</w:t>
      </w:r>
    </w:p>
    <w:p>
      <w:pPr>
        <w:pStyle w:val="BodyText"/>
      </w:pPr>
      <w:r>
        <w:t xml:space="preserve">Authorized Representative:</w:t>
      </w:r>
      <w:r>
        <w:t xml:space="preserve"> </w:t>
      </w:r>
      <w:r>
        <w:t xml:space="preserve">Hon. Aibek Tulegenov, Presiding Judge</w:t>
      </w:r>
    </w:p>
    <w:p>
      <w:pPr>
        <w:pStyle w:val="BodyText"/>
      </w:pPr>
      <w:r>
        <w:t xml:space="preserve">Contact:</w:t>
      </w:r>
      <w:r>
        <w:t xml:space="preserve"> </w:t>
      </w:r>
      <w:r>
        <w:t xml:space="preserve">judicial.almaty@court.gov.kz | +7 (727) 312-4567</w:t>
      </w:r>
    </w:p>
    <w:p>
      <w:pPr>
        <w:pStyle w:val="BodyText"/>
      </w:pPr>
      <w:r>
        <w:t xml:space="preserve">BIN (Tax ID):</w:t>
      </w:r>
      <w:r>
        <w:t xml:space="preserve"> </w:t>
      </w:r>
      <w:r>
        <w:t xml:space="preserve">990450012345</w:t>
      </w:r>
    </w:p>
    <w:bookmarkEnd w:id="22"/>
    <w:bookmarkStart w:id="23" w:name="supplier-information"/>
    <w:p>
      <w:pPr>
        <w:pStyle w:val="Heading2"/>
      </w:pPr>
      <w:r>
        <w:t xml:space="preserve">Supplier Information</w:t>
      </w:r>
    </w:p>
    <w:p>
      <w:pPr>
        <w:pStyle w:val="FirstParagraph"/>
      </w:pPr>
      <w:r>
        <w:t xml:space="preserve">Company:</w:t>
      </w:r>
      <w:r>
        <w:t xml:space="preserve"> </w:t>
      </w:r>
      <w:r>
        <w:t xml:space="preserve">Astana Judicial Technologies LLP</w:t>
      </w:r>
    </w:p>
    <w:p>
      <w:pPr>
        <w:pStyle w:val="BodyText"/>
      </w:pPr>
      <w:r>
        <w:t xml:space="preserve">Address:</w:t>
      </w:r>
      <w:r>
        <w:t xml:space="preserve"> </w:t>
      </w:r>
      <w:r>
        <w:t xml:space="preserve">45 Dostyk Avenue, Almaty, 050000, Republic of Kazakhstan</w:t>
      </w:r>
    </w:p>
    <w:p>
      <w:pPr>
        <w:pStyle w:val="BodyText"/>
      </w:pPr>
      <w:r>
        <w:t xml:space="preserve">Authorized Representative:</w:t>
      </w:r>
      <w:r>
        <w:t xml:space="preserve"> </w:t>
      </w:r>
      <w:r>
        <w:t xml:space="preserve">Marat Serikzhanov, Chief Executive Officer</w:t>
      </w:r>
    </w:p>
    <w:p>
      <w:pPr>
        <w:pStyle w:val="BodyText"/>
      </w:pPr>
      <w:r>
        <w:t xml:space="preserve">Contact:</w:t>
      </w:r>
      <w:r>
        <w:t xml:space="preserve"> </w:t>
      </w:r>
      <w:r>
        <w:t xml:space="preserve">sales@astanatj.kz | +7 (727) 245-8901</w:t>
      </w:r>
    </w:p>
    <w:p>
      <w:pPr>
        <w:pStyle w:val="BodyText"/>
      </w:pPr>
      <w:r>
        <w:t xml:space="preserve">BIN (Tax ID):</w:t>
      </w:r>
      <w:r>
        <w:t xml:space="preserve"> </w:t>
      </w:r>
      <w:r>
        <w:t xml:space="preserve">040512345678</w:t>
      </w:r>
    </w:p>
    <w:bookmarkEnd w:id="23"/>
    <w:bookmarkStart w:id="24" w:name="Xcb8821c2e205c015bc4e95f9c5931d37e84efda"/>
    <w:p>
      <w:pPr>
        <w:pStyle w:val="Heading2"/>
      </w:pPr>
      <w:r>
        <w:t xml:space="preserve">Itemized Purchase Order – Equipment for the Judge's Office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Judge's Bench and Elevated Platform</w:t>
            </w:r>
          </w:p>
        </w:tc>
        <w:tc>
          <w:tcPr/>
          <w:p>
            <w:pPr>
              <w:pStyle w:val="Compact"/>
              <w:jc w:val="left"/>
            </w:pPr>
            <w:r>
              <w:t xml:space="preserve">Walnut wood, 2400mm x 1800mm, with integrated cable management, sound-absorbing panels, and built-in document tray. Designed for the presiding Judge's elevated position in the courtroom.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Judge's Executive Desk and Seating</w:t>
            </w:r>
          </w:p>
        </w:tc>
        <w:tc>
          <w:tcPr/>
          <w:p>
            <w:pPr>
              <w:pStyle w:val="Compact"/>
              <w:jc w:val="left"/>
            </w:pPr>
            <w:r>
              <w:t xml:space="preserve">Executive-grade oak desk (1600mm x 900mm) with leather inlay, ergonomic high-back chair, and matching side table for the Judge's private chambers in Almaty.</w:t>
            </w:r>
          </w:p>
        </w:tc>
        <w:tc>
          <w:tcPr/>
          <w:p>
            <w:pPr>
              <w:pStyle w:val="Compact"/>
              <w:jc w:val="left"/>
            </w:pPr>
            <w:r>
              <w:t xml:space="preserve">1</w:t>
            </w:r>
          </w:p>
        </w:tc>
        <w:tc>
          <w:tcPr/>
          <w:p>
            <w:pPr>
              <w:pStyle w:val="Compact"/>
              <w:jc w:val="left"/>
            </w:pPr>
            <w:r>
              <w:t xml:space="preserve">2,340,000</w:t>
            </w:r>
          </w:p>
        </w:tc>
        <w:tc>
          <w:tcPr/>
          <w:p>
            <w:pPr>
              <w:pStyle w:val="Compact"/>
              <w:jc w:val="left"/>
            </w:pPr>
            <w:r>
              <w:t xml:space="preserve">2,340,000</w:t>
            </w:r>
          </w:p>
        </w:tc>
      </w:tr>
      <w:tr>
        <w:tc>
          <w:tcPr/>
          <w:p>
            <w:pPr>
              <w:pStyle w:val="Compact"/>
              <w:jc w:val="left"/>
            </w:pPr>
            <w:r>
              <w:t xml:space="preserve">03</w:t>
            </w:r>
          </w:p>
        </w:tc>
        <w:tc>
          <w:tcPr/>
          <w:p>
            <w:pPr>
              <w:pStyle w:val="Compact"/>
              <w:jc w:val="left"/>
            </w:pPr>
            <w:r>
              <w:t xml:space="preserve">Digital Case Management System (DCMS)</w:t>
            </w:r>
          </w:p>
        </w:tc>
        <w:tc>
          <w:tcPr/>
          <w:p>
            <w:pPr>
              <w:pStyle w:val="Compact"/>
              <w:jc w:val="left"/>
            </w:pPr>
            <w:r>
              <w:t xml:space="preserve">Enterprise software license for the Judge's office. Includes e-filing, digital evidence management, video conferencing for remote hearings, and integration with the Kazakhstan national judicial portal (e-justice.gov.kz). 5-year license.</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Courtroom Audio-Visual and Recording System</w:t>
            </w:r>
          </w:p>
        </w:tc>
        <w:tc>
          <w:tcPr/>
          <w:p>
            <w:pPr>
              <w:pStyle w:val="Compact"/>
              <w:jc w:val="left"/>
            </w:pPr>
            <w:r>
              <w:t xml:space="preserve">Full courtroom AV package: 4K display (85-inch), 8-channel digital audio system, 6 high-definition cameras for proceedings recording, and encrypted storage server. Required for the Judge to conduct and record hearings in compliance with Kazakhstani procedural law.</w:t>
            </w:r>
          </w:p>
        </w:tc>
        <w:tc>
          <w:tcPr/>
          <w:p>
            <w:pPr>
              <w:pStyle w:val="Compact"/>
              <w:jc w:val="left"/>
            </w:pPr>
            <w:r>
              <w:t xml:space="preserve">1</w:t>
            </w:r>
          </w:p>
        </w:tc>
        <w:tc>
          <w:tcPr/>
          <w:p>
            <w:pPr>
              <w:pStyle w:val="Compact"/>
              <w:jc w:val="left"/>
            </w:pPr>
            <w:r>
              <w:t xml:space="preserve">12,600,000</w:t>
            </w:r>
          </w:p>
        </w:tc>
        <w:tc>
          <w:tcPr/>
          <w:p>
            <w:pPr>
              <w:pStyle w:val="Compact"/>
              <w:jc w:val="left"/>
            </w:pPr>
            <w:r>
              <w:t xml:space="preserve">12,600,000</w:t>
            </w:r>
          </w:p>
        </w:tc>
      </w:tr>
      <w:tr>
        <w:tc>
          <w:tcPr/>
          <w:p>
            <w:pPr>
              <w:pStyle w:val="Compact"/>
              <w:jc w:val="left"/>
            </w:pPr>
            <w:r>
              <w:t xml:space="preserve">05</w:t>
            </w:r>
          </w:p>
        </w:tc>
        <w:tc>
          <w:tcPr/>
          <w:p>
            <w:pPr>
              <w:pStyle w:val="Compact"/>
              <w:jc w:val="left"/>
            </w:pPr>
            <w:r>
              <w:t xml:space="preserve">Secure Document Storage and Filing System</w:t>
            </w:r>
          </w:p>
        </w:tc>
        <w:tc>
          <w:tcPr/>
          <w:p>
            <w:pPr>
              <w:pStyle w:val="Compact"/>
              <w:jc w:val="left"/>
            </w:pPr>
            <w:r>
              <w:t xml:space="preserve">Fire-rated steel cabinet (1200mm x 900mm x 2000mm) with biometric lock, climate control, and 200kg capacity for the Judge's confidential case files and sealed evidence documents.</w:t>
            </w:r>
          </w:p>
        </w:tc>
        <w:tc>
          <w:tcPr/>
          <w:p>
            <w:pPr>
              <w:pStyle w:val="Compact"/>
              <w:jc w:val="left"/>
            </w:pPr>
            <w:r>
              <w:t xml:space="preserve">2</w:t>
            </w:r>
          </w:p>
        </w:tc>
        <w:tc>
          <w:tcPr/>
          <w:p>
            <w:pPr>
              <w:pStyle w:val="Compact"/>
              <w:jc w:val="left"/>
            </w:pPr>
            <w:r>
              <w:t xml:space="preserve">890,000</w:t>
            </w:r>
          </w:p>
        </w:tc>
        <w:tc>
          <w:tcPr/>
          <w:p>
            <w:pPr>
              <w:pStyle w:val="Compact"/>
              <w:jc w:val="left"/>
            </w:pPr>
            <w:r>
              <w:t xml:space="preserve">1,780,000</w:t>
            </w:r>
          </w:p>
        </w:tc>
      </w:tr>
      <w:tr>
        <w:tc>
          <w:tcPr/>
          <w:p>
            <w:pPr>
              <w:pStyle w:val="Compact"/>
              <w:jc w:val="left"/>
            </w:pPr>
            <w:r>
              <w:t xml:space="preserve">06</w:t>
            </w:r>
          </w:p>
        </w:tc>
        <w:tc>
          <w:tcPr/>
          <w:p>
            <w:pPr>
              <w:pStyle w:val="Compact"/>
              <w:jc w:val="left"/>
            </w:pPr>
            <w:r>
              <w:t xml:space="preserve">Workstation Computers and Peripherals (Judge's Office)</w:t>
            </w:r>
          </w:p>
        </w:tc>
        <w:tc>
          <w:tcPr/>
          <w:p>
            <w:pPr>
              <w:pStyle w:val="Compact"/>
              <w:jc w:val="left"/>
            </w:pPr>
            <w:r>
              <w:t xml:space="preserve">3x high-performance desktop workstations (Intel i9, 64GB RAM, 2TB SSD), 3x 27-inch 4K monitors, encrypted USB drives, and dedicated printing/scanning station for the Judge's administrative staff.</w:t>
            </w:r>
          </w:p>
        </w:tc>
        <w:tc>
          <w:tcPr/>
          <w:p>
            <w:pPr>
              <w:pStyle w:val="Compact"/>
              <w:jc w:val="left"/>
            </w:pPr>
            <w:r>
              <w:t xml:space="preserve">3</w:t>
            </w:r>
          </w:p>
        </w:tc>
        <w:tc>
          <w:tcPr/>
          <w:p>
            <w:pPr>
              <w:pStyle w:val="Compact"/>
              <w:jc w:val="left"/>
            </w:pPr>
            <w:r>
              <w:t xml:space="preserve">1,450,000</w:t>
            </w:r>
          </w:p>
        </w:tc>
        <w:tc>
          <w:tcPr/>
          <w:p>
            <w:pPr>
              <w:pStyle w:val="Compact"/>
              <w:jc w:val="left"/>
            </w:pPr>
            <w:r>
              <w:t xml:space="preserve">4,350,000</w:t>
            </w:r>
          </w:p>
        </w:tc>
      </w:tr>
      <w:tr>
        <w:tc>
          <w:tcPr/>
          <w:p>
            <w:pPr>
              <w:pStyle w:val="Compact"/>
              <w:jc w:val="left"/>
            </w:pPr>
            <w:r>
              <w:t xml:space="preserve">07</w:t>
            </w:r>
          </w:p>
        </w:tc>
        <w:tc>
          <w:tcPr/>
          <w:p>
            <w:pPr>
              <w:pStyle w:val="Compact"/>
              <w:jc w:val="left"/>
            </w:pPr>
            <w:r>
              <w:t xml:space="preserve">Legal Reference Library and Digital Access</w:t>
            </w:r>
          </w:p>
        </w:tc>
        <w:tc>
          <w:tcPr/>
          <w:p>
            <w:pPr>
              <w:pStyle w:val="Compact"/>
              <w:jc w:val="left"/>
            </w:pPr>
            <w:r>
              <w:t xml:space="preserve">Subscription to comprehensive Kazakhstani legal databases (Adilet, Supreme Court precedents), 200 physical volumes of the Civil Code, Criminal Code, and Administrative Code of the Republic of Kazakhstan, plus a dedicated reading desk for the Judge.</w:t>
            </w:r>
          </w:p>
        </w:tc>
        <w:tc>
          <w:tcPr/>
          <w:p>
            <w:pPr>
              <w:pStyle w:val="Compact"/>
              <w:jc w:val="left"/>
            </w:pPr>
            <w:r>
              <w:t xml:space="preserve">1</w:t>
            </w:r>
          </w:p>
        </w:tc>
        <w:tc>
          <w:tcPr/>
          <w:p>
            <w:pPr>
              <w:pStyle w:val="Compact"/>
              <w:jc w:val="left"/>
            </w:pPr>
            <w:r>
              <w:t xml:space="preserve">3,100,000</w:t>
            </w:r>
          </w:p>
        </w:tc>
        <w:tc>
          <w:tcPr/>
          <w:p>
            <w:pPr>
              <w:pStyle w:val="Compact"/>
              <w:jc w:val="left"/>
            </w:pPr>
            <w:r>
              <w:t xml:space="preserve">3,100,000</w:t>
            </w:r>
          </w:p>
        </w:tc>
      </w:tr>
      <w:tr>
        <w:tc>
          <w:tcPr/>
          <w:p>
            <w:pPr>
              <w:pStyle w:val="Compact"/>
              <w:jc w:val="left"/>
            </w:pPr>
            <w:r>
              <w:t xml:space="preserve">08</w:t>
            </w:r>
          </w:p>
        </w:tc>
        <w:tc>
          <w:tcPr/>
          <w:p>
            <w:pPr>
              <w:pStyle w:val="Compact"/>
              <w:jc w:val="left"/>
            </w:pPr>
            <w:r>
              <w:t xml:space="preserve">Security and Access Control System</w:t>
            </w:r>
          </w:p>
        </w:tc>
        <w:tc>
          <w:tcPr/>
          <w:p>
            <w:pPr>
              <w:pStyle w:val="Compact"/>
              <w:jc w:val="left"/>
            </w:pPr>
            <w:r>
              <w:t xml:space="preserve">Biometric entry system for the Judge's chambers, CCTV surveillance (12 cameras), alarm system, and secure intercom. Compliant with the security standards mandated for judicial offices in Almaty by the Ministry of Justice of Kazakhstan.</w:t>
            </w:r>
          </w:p>
        </w:tc>
        <w:tc>
          <w:tcPr/>
          <w:p>
            <w:pPr>
              <w:pStyle w:val="Compact"/>
              <w:jc w:val="left"/>
            </w:pPr>
            <w:r>
              <w:t xml:space="preserve">1</w:t>
            </w:r>
          </w:p>
        </w:tc>
        <w:tc>
          <w:tcPr/>
          <w:p>
            <w:pPr>
              <w:pStyle w:val="Compact"/>
              <w:jc w:val="left"/>
            </w:pPr>
            <w:r>
              <w:t xml:space="preserve">5,750,000</w:t>
            </w:r>
          </w:p>
        </w:tc>
        <w:tc>
          <w:tcPr/>
          <w:p>
            <w:pPr>
              <w:pStyle w:val="Compact"/>
              <w:jc w:val="left"/>
            </w:pPr>
            <w:r>
              <w:t xml:space="preserve">5,750,000</w:t>
            </w:r>
          </w:p>
        </w:tc>
      </w:tr>
      <w:tr>
        <w:tc>
          <w:tcPr/>
          <w:p>
            <w:pPr>
              <w:pStyle w:val="Compact"/>
              <w:jc w:val="left"/>
            </w:pPr>
            <w:r>
              <w:t xml:space="preserve">09</w:t>
            </w:r>
          </w:p>
        </w:tc>
        <w:tc>
          <w:tcPr/>
          <w:p>
            <w:pPr>
              <w:pStyle w:val="Compact"/>
              <w:jc w:val="left"/>
            </w:pPr>
            <w:r>
              <w:t xml:space="preserve">Installation, Configuration, and Training</w:t>
            </w:r>
          </w:p>
        </w:tc>
        <w:tc>
          <w:tcPr/>
          <w:p>
            <w:pPr>
              <w:pStyle w:val="Compact"/>
              <w:jc w:val="left"/>
            </w:pPr>
            <w:r>
              <w:t xml:space="preserve">On-site installation of all equipment at the Almaty court facility, system configuration, integration with existing infrastructure, and 3-day training for the Judge's clerks and administrative staff on the DCMS and AV systems.</w:t>
            </w:r>
          </w:p>
        </w:tc>
        <w:tc>
          <w:tcPr/>
          <w:p>
            <w:pPr>
              <w:pStyle w:val="Compact"/>
              <w:jc w:val="left"/>
            </w:pPr>
            <w:r>
              <w:t xml:space="preserve">1</w:t>
            </w:r>
          </w:p>
        </w:tc>
        <w:tc>
          <w:tcPr/>
          <w:p>
            <w:pPr>
              <w:pStyle w:val="Compact"/>
              <w:jc w:val="left"/>
            </w:pPr>
            <w:r>
              <w:t xml:space="preserve">2,900,000</w:t>
            </w:r>
          </w:p>
        </w:tc>
        <w:tc>
          <w:tcPr/>
          <w:p>
            <w:pPr>
              <w:pStyle w:val="Compact"/>
              <w:jc w:val="left"/>
            </w:pPr>
            <w:r>
              <w:t xml:space="preserve">2,900,000</w:t>
            </w:r>
          </w:p>
        </w:tc>
      </w:tr>
      <w:tr>
        <w:tc>
          <w:tcPr/>
          <w:p>
            <w:pPr>
              <w:pStyle w:val="Compact"/>
              <w:jc w:val="left"/>
            </w:pPr>
            <w:r>
              <w:t xml:space="preserve">10</w:t>
            </w:r>
          </w:p>
        </w:tc>
        <w:tc>
          <w:tcPr/>
          <w:p>
            <w:pPr>
              <w:pStyle w:val="Compact"/>
              <w:jc w:val="left"/>
            </w:pPr>
            <w:r>
              <w:t xml:space="preserve">Warranty and Maintenance Contract (3 Years)</w:t>
            </w:r>
          </w:p>
        </w:tc>
        <w:tc>
          <w:tcPr/>
          <w:p>
            <w:pPr>
              <w:pStyle w:val="Compact"/>
              <w:jc w:val="left"/>
            </w:pPr>
            <w:r>
              <w:t xml:space="preserve">Comprehensive 36-month warranty covering all hardware, software updates, annual preventive maintenance visits, and 24/7 technical support for the Judge's office systems in Almaty.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59,370,000</w:t>
            </w:r>
          </w:p>
        </w:tc>
      </w:tr>
      <w:tr>
        <w:tc>
          <w:tcPr>
            <w:gridSpan w:val="5"/>
          </w:tcPr>
          <w:p>
            <w:pPr>
              <w:pStyle w:val="Compact"/>
              <w:jc w:val="right"/>
            </w:pPr>
            <w:r>
              <w:t xml:space="preserve">VAT (12% per Kazakhstan Tax Code)</w:t>
            </w:r>
          </w:p>
        </w:tc>
        <w:tc>
          <w:tcPr/>
          <w:p>
            <w:pPr>
              <w:pStyle w:val="Compact"/>
              <w:jc w:val="left"/>
            </w:pPr>
            <w:r>
              <w:t xml:space="preserve">7,124,400</w:t>
            </w:r>
          </w:p>
        </w:tc>
      </w:tr>
      <w:tr>
        <w:tc>
          <w:tcPr>
            <w:gridSpan w:val="5"/>
          </w:tcPr>
          <w:p>
            <w:pPr>
              <w:pStyle w:val="Compact"/>
              <w:jc w:val="right"/>
            </w:pPr>
            <w:r>
              <w:t xml:space="preserve">GRAND TOTAL</w:t>
            </w:r>
          </w:p>
        </w:tc>
        <w:tc>
          <w:tcPr/>
          <w:p>
            <w:pPr>
              <w:pStyle w:val="Compact"/>
              <w:jc w:val="left"/>
            </w:pPr>
            <w:r>
              <w:t xml:space="preserve">66,494,400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issued in accordance with the Law of the Republic of Kazakhstan "On the Judicial System and the Status of Judges" and the applicable procurement regulations of the Almaty Regional Judicial Division.</w:t>
      </w:r>
    </w:p>
    <w:p>
      <w:pPr>
        <w:numPr>
          <w:ilvl w:val="0"/>
          <w:numId w:val="1001"/>
        </w:numPr>
        <w:pStyle w:val="Compact"/>
      </w:pPr>
      <w:r>
        <w:t xml:space="preserve">All equipment and systems specified in this Purchase Order shall be delivered, installed, and made fully operational at the designated court facility in Almaty, Kazakhstan, no later than 30 July 2025.</w:t>
      </w:r>
    </w:p>
    <w:p>
      <w:pPr>
        <w:numPr>
          <w:ilvl w:val="0"/>
          <w:numId w:val="1001"/>
        </w:numPr>
        <w:pStyle w:val="Compact"/>
      </w:pPr>
      <w:r>
        <w:t xml:space="preserve">The Supplier warrants that all goods and software are new, of original manufacture, and free from defects. The digital case management system shall be fully compatible with the national e-justice infrastructure of Kazakhstan.</w:t>
      </w:r>
    </w:p>
    <w:p>
      <w:pPr>
        <w:numPr>
          <w:ilvl w:val="0"/>
          <w:numId w:val="1001"/>
        </w:numPr>
        <w:pStyle w:val="Compact"/>
      </w:pPr>
      <w:r>
        <w:t xml:space="preserve">Payment shall be made in Kazakhstani Tenge (KZT) via bank transfer to the Supplier's designated account within thirty (30) calendar days of confirmed delivery and successful acceptance by the Judge's office.</w:t>
      </w:r>
    </w:p>
    <w:p>
      <w:pPr>
        <w:numPr>
          <w:ilvl w:val="0"/>
          <w:numId w:val="1001"/>
        </w:numPr>
        <w:pStyle w:val="Compact"/>
      </w:pPr>
      <w:r>
        <w:t xml:space="preserve">The Supplier shall provide a minimum three-year warranty on all hardware and a five-year software license as specified. Any defects discovered during the warranty period shall be repaired or replaced at no additional cost to the Buyer.</w:t>
      </w:r>
    </w:p>
    <w:p>
      <w:pPr>
        <w:numPr>
          <w:ilvl w:val="0"/>
          <w:numId w:val="1001"/>
        </w:numPr>
        <w:pStyle w:val="Compact"/>
      </w:pPr>
      <w:r>
        <w:t xml:space="preserve">All personal data and case information processed through the purchased systems shall be handled in strict compliance with the Law of the Republic of Kazakhstan "On Personal Data and Its Protection." Data servers shall be physically located within the borders of Kazakhstan.</w:t>
      </w:r>
    </w:p>
    <w:p>
      <w:pPr>
        <w:numPr>
          <w:ilvl w:val="0"/>
          <w:numId w:val="1001"/>
        </w:numPr>
        <w:pStyle w:val="Compact"/>
      </w:pPr>
      <w:r>
        <w:t xml:space="preserve">The Supplier shall assign a dedicated project manager based in Almaty to oversee installation, configuration, and post-delivery support for the Judge's office.</w:t>
      </w:r>
    </w:p>
    <w:p>
      <w:pPr>
        <w:numPr>
          <w:ilvl w:val="0"/>
          <w:numId w:val="1001"/>
        </w:numPr>
        <w:pStyle w:val="Compact"/>
      </w:pPr>
      <w:r>
        <w:t xml:space="preserve">Any disputes arising from this Purchase Order shall be resolved through the courts of Almaty, Republic of Kazakhstan, in accordance with the applicable civil and commercial legislation.</w:t>
      </w:r>
    </w:p>
    <w:p>
      <w:pPr>
        <w:numPr>
          <w:ilvl w:val="0"/>
          <w:numId w:val="1001"/>
        </w:numPr>
        <w:pStyle w:val="Compact"/>
      </w:pPr>
      <w:r>
        <w:t xml:space="preserve">This Purchase Order becomes effective upon signature by both parties and remains valid until 15 September 2025, after which it shall be considered void unless renewed in writing.</w:t>
      </w:r>
    </w:p>
    <w:p>
      <w:pPr>
        <w:numPr>
          <w:ilvl w:val="0"/>
          <w:numId w:val="1001"/>
        </w:numPr>
        <w:pStyle w:val="Compact"/>
      </w:pPr>
      <w:r>
        <w:t xml:space="preserve">The Supplier acknowledges that the equipment purchased under this order is intended exclusively for the use of the presiding Judge and the judicial staff of the Almaty Regional Judicial Division and shall not be transferred, resold, or repurposed without written authorization from the Buyer.</w:t>
      </w:r>
    </w:p>
    <w:bookmarkEnd w:id="25"/>
    <w:bookmarkStart w:id="26" w:name="authorization-and-signatures"/>
    <w:p>
      <w:pPr>
        <w:pStyle w:val="Heading2"/>
      </w:pPr>
      <w:r>
        <w:t xml:space="preserve">Authorization and Signatures</w:t>
      </w:r>
    </w:p>
    <w:p>
      <w:pPr>
        <w:pStyle w:val="FirstParagraph"/>
      </w:pPr>
      <w:r>
        <w:t xml:space="preserve">For the Buyer (Office of the Judge):</w:t>
      </w:r>
    </w:p>
    <w:p>
      <w:pPr>
        <w:pStyle w:val="BodyText"/>
      </w:pPr>
      <w:r>
        <w:rPr>
          <w:bCs/>
          <w:b/>
        </w:rPr>
        <w:t xml:space="preserve">Hon. Aibek Tulegenov</w:t>
      </w:r>
    </w:p>
    <w:p>
      <w:pPr>
        <w:pStyle w:val="BodyText"/>
      </w:pPr>
      <w:r>
        <w:t xml:space="preserve">Presiding Judge, Almaty Regional Judicial Division</w:t>
      </w:r>
    </w:p>
    <w:p>
      <w:pPr>
        <w:pStyle w:val="BodyText"/>
      </w:pPr>
      <w:r>
        <w:t xml:space="preserve">Date: _______________</w:t>
      </w:r>
    </w:p>
    <w:p>
      <w:pPr>
        <w:pStyle w:val="BodyText"/>
      </w:pPr>
      <w:r>
        <w:t xml:space="preserve">For the Supplier:</w:t>
      </w:r>
    </w:p>
    <w:p>
      <w:pPr>
        <w:pStyle w:val="BodyText"/>
      </w:pPr>
      <w:r>
        <w:rPr>
          <w:bCs/>
          <w:b/>
        </w:rPr>
        <w:t xml:space="preserve">Marat Serikzhanov</w:t>
      </w:r>
    </w:p>
    <w:p>
      <w:pPr>
        <w:pStyle w:val="BodyText"/>
      </w:pPr>
      <w:r>
        <w:t xml:space="preserve">CEO, Astana Judicial Technologies LLP</w:t>
      </w:r>
    </w:p>
    <w:p>
      <w:pPr>
        <w:pStyle w:val="BodyText"/>
      </w:pPr>
      <w:r>
        <w:t xml:space="preserve">Date: _______________</w:t>
      </w:r>
    </w:p>
    <w:bookmarkEnd w:id="26"/>
    <w:p>
      <w:pPr>
        <w:pStyle w:val="BodyText"/>
      </w:pPr>
      <w:r>
        <w:t xml:space="preserve">Purchase Order No. KZ-ALM-2025-04782 | Issued in Almaty, Republic of Kazakhstan | Page 1 of 1</w:t>
      </w:r>
    </w:p>
    <w:p>
      <w:pPr>
        <w:pStyle w:val="BodyText"/>
      </w:pPr>
      <w:r>
        <w:t xml:space="preserve">This document is the property of the Supreme Court of the Republic of Kazakhstan.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 Almaty, Kazakhstan</dc:title>
  <dc:creator/>
  <dc:language>en</dc:language>
  <cp:keywords/>
  <dcterms:created xsi:type="dcterms:W3CDTF">2026-10-10T08:38:25Z</dcterms:created>
  <dcterms:modified xsi:type="dcterms:W3CDTF">2026-10-10T08:38:25Z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