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Supplies</w:t>
      </w:r>
      <w:r>
        <w:t xml:space="preserve"> </w:t>
      </w:r>
      <w:r>
        <w:t xml:space="preserve">-</w:t>
      </w:r>
      <w:r>
        <w:t xml:space="preserve"> </w:t>
      </w:r>
      <w:r>
        <w:t xml:space="preserve">Kuwait</w:t>
      </w:r>
      <w:r>
        <w:t xml:space="preserve"> </w:t>
      </w:r>
      <w:r>
        <w:t xml:space="preserve">Kuwait</w:t>
      </w:r>
      <w:r>
        <w:t xml:space="preserve"> </w:t>
      </w:r>
      <w:r>
        <w:t xml:space="preserve">City</w:t>
      </w:r>
    </w:p>
    <w:bookmarkStart w:id="21" w:name="purchase-order"/>
    <w:p>
      <w:pPr>
        <w:pStyle w:val="Heading1"/>
      </w:pPr>
      <w:r>
        <w:t xml:space="preserve">PURCHASE ORDER</w:t>
      </w:r>
    </w:p>
    <w:bookmarkStart w:id="20" w:name="ministry-of-justice-republic-of-kuwait"/>
    <w:p>
      <w:pPr>
        <w:pStyle w:val="Heading2"/>
      </w:pPr>
      <w:r>
        <w:t xml:space="preserve">Ministry of Justice – Republic of Kuwait</w:t>
      </w:r>
    </w:p>
    <w:p>
      <w:pPr>
        <w:pStyle w:val="FirstParagraph"/>
      </w:pPr>
      <w:r>
        <w:t xml:space="preserve">Official Procurement Document for Judicial Supplies</w:t>
      </w:r>
    </w:p>
    <w:p>
      <w:pPr>
        <w:pStyle w:val="BodyText"/>
      </w:pPr>
      <w:r>
        <w:t xml:space="preserve">PO No.: KWT-JUD-2025-00472</w:t>
      </w:r>
    </w:p>
    <w:bookmarkEnd w:id="20"/>
    <w:bookmarkEnd w:id="21"/>
    <w:bookmarkStart w:id="22" w:name="buyer-receiving-authority"/>
    <w:p>
      <w:pPr>
        <w:pStyle w:val="Heading3"/>
      </w:pPr>
      <w:r>
        <w:t xml:space="preserve">Buyer / Receiving Authority</w:t>
      </w:r>
    </w:p>
    <w:p>
      <w:pPr>
        <w:pStyle w:val="FirstParagraph"/>
      </w:pPr>
      <w:r>
        <w:rPr>
          <w:bCs/>
          <w:b/>
        </w:rPr>
        <w:t xml:space="preserve">Ministry of Justice</w:t>
      </w:r>
    </w:p>
    <w:p>
      <w:pPr>
        <w:pStyle w:val="BodyText"/>
      </w:pPr>
      <w:r>
        <w:t xml:space="preserve">Supreme Court Complex</w:t>
      </w:r>
    </w:p>
    <w:p>
      <w:pPr>
        <w:pStyle w:val="BodyText"/>
      </w:pPr>
      <w:r>
        <w:t xml:space="preserve">Al-Salem Street, Block 1</w:t>
      </w:r>
    </w:p>
    <w:p>
      <w:pPr>
        <w:pStyle w:val="BodyText"/>
      </w:pPr>
      <w:r>
        <w:t xml:space="preserve">Kuwait, Kuwait City</w:t>
      </w:r>
    </w:p>
    <w:p>
      <w:pPr>
        <w:pStyle w:val="BodyText"/>
      </w:pPr>
      <w:r>
        <w:t xml:space="preserve">P.O. Box 293, Safat 13001</w:t>
      </w:r>
    </w:p>
    <w:p>
      <w:pPr>
        <w:pStyle w:val="BodyText"/>
      </w:pPr>
      <w:r>
        <w:t xml:space="preserve">Telephone: +965-22441000</w:t>
      </w:r>
    </w:p>
    <w:p>
      <w:pPr>
        <w:pStyle w:val="BodyText"/>
      </w:pPr>
      <w:r>
        <w:t xml:space="preserve">Email: procurement@moj.gov.kw</w:t>
      </w:r>
    </w:p>
    <w:bookmarkEnd w:id="22"/>
    <w:bookmarkStart w:id="23" w:name="vendor-supplier"/>
    <w:p>
      <w:pPr>
        <w:pStyle w:val="Heading3"/>
      </w:pPr>
      <w:r>
        <w:t xml:space="preserve">Vendor / Supplier</w:t>
      </w:r>
    </w:p>
    <w:p>
      <w:pPr>
        <w:pStyle w:val="FirstParagraph"/>
      </w:pPr>
      <w:r>
        <w:rPr>
          <w:bCs/>
          <w:b/>
        </w:rPr>
        <w:t xml:space="preserve">Al-Nakheel Judicial Supplies Co. W.L.L.</w:t>
      </w:r>
    </w:p>
    <w:p>
      <w:pPr>
        <w:pStyle w:val="BodyText"/>
      </w:pPr>
      <w:r>
        <w:t xml:space="preserve">Commercial Area, Building 42</w:t>
      </w:r>
    </w:p>
    <w:p>
      <w:pPr>
        <w:pStyle w:val="BodyText"/>
      </w:pPr>
      <w:r>
        <w:t xml:space="preserve">Al-Rawda District</w:t>
      </w:r>
    </w:p>
    <w:p>
      <w:pPr>
        <w:pStyle w:val="BodyText"/>
      </w:pPr>
      <w:r>
        <w:t xml:space="preserve">Kuwait, Kuwait City</w:t>
      </w:r>
    </w:p>
    <w:p>
      <w:pPr>
        <w:pStyle w:val="BodyText"/>
      </w:pPr>
      <w:r>
        <w:t xml:space="preserve">P.O. Box 5518, Salmiya 15001</w:t>
      </w:r>
    </w:p>
    <w:p>
      <w:pPr>
        <w:pStyle w:val="BodyText"/>
      </w:pPr>
      <w:r>
        <w:t xml:space="preserve">Telephone: +965-24887700</w:t>
      </w:r>
    </w:p>
    <w:p>
      <w:pPr>
        <w:pStyle w:val="BodyText"/>
      </w:pPr>
      <w:r>
        <w:t xml:space="preserve">Tax Registration: TR-2019-44821</w:t>
      </w:r>
    </w:p>
    <w:bookmarkEnd w:id="23"/>
    <w:bookmarkStart w:id="24" w:name="order-details"/>
    <w:p>
      <w:pPr>
        <w:pStyle w:val="Heading3"/>
      </w:pPr>
      <w:r>
        <w:t xml:space="preserve">Order Details</w:t>
      </w:r>
    </w:p>
    <w:p>
      <w:pPr>
        <w:pStyle w:val="FirstParagraph"/>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Supreme Court,</w:t>
      </w:r>
      <w:r>
        <w:t xml:space="preserve"> </w:t>
      </w:r>
      <w:r>
        <w:t xml:space="preserve">Kuwait Kuwait City</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Kuwaiti Dinar (KWD)</w:t>
      </w:r>
    </w:p>
    <w:bookmarkEnd w:id="24"/>
    <w:bookmarkStart w:id="25" w:name="authorized-by"/>
    <w:p>
      <w:pPr>
        <w:pStyle w:val="Heading3"/>
      </w:pPr>
      <w:r>
        <w:t xml:space="preserve">Authorized By</w:t>
      </w:r>
    </w:p>
    <w:p>
      <w:pPr>
        <w:pStyle w:val="FirstParagraph"/>
      </w:pPr>
      <w:r>
        <w:rPr>
          <w:bCs/>
          <w:b/>
        </w:rPr>
        <w:t xml:space="preserve">Name:</w:t>
      </w:r>
      <w:r>
        <w:t xml:space="preserve"> </w:t>
      </w:r>
      <w:r>
        <w:t xml:space="preserve">H.E. Dr. Khalid Al-Mubarak Al-Sabah</w:t>
      </w:r>
    </w:p>
    <w:p>
      <w:pPr>
        <w:pStyle w:val="BodyText"/>
      </w:pPr>
      <w:r>
        <w:rPr>
          <w:bCs/>
          <w:b/>
        </w:rPr>
        <w:t xml:space="preserve">Title:</w:t>
      </w:r>
      <w:r>
        <w:t xml:space="preserve"> </w:t>
      </w:r>
      <w:r>
        <w:t xml:space="preserve">Minister of Justice</w:t>
      </w:r>
    </w:p>
    <w:p>
      <w:pPr>
        <w:pStyle w:val="BodyText"/>
      </w:pPr>
      <w:r>
        <w:rPr>
          <w:bCs/>
          <w:b/>
        </w:rPr>
        <w:t xml:space="preserve">Department:</w:t>
      </w:r>
      <w:r>
        <w:t xml:space="preserve"> </w:t>
      </w:r>
      <w:r>
        <w:t xml:space="preserve">Judicial Administration</w:t>
      </w:r>
    </w:p>
    <w:p>
      <w:pPr>
        <w:pStyle w:val="BodyText"/>
      </w:pPr>
      <w:r>
        <w:rPr>
          <w:bCs/>
          <w:b/>
        </w:rPr>
        <w:t xml:space="preserve">Approval Reference:</w:t>
      </w:r>
      <w:r>
        <w:t xml:space="preserve"> </w:t>
      </w:r>
      <w:r>
        <w:t xml:space="preserve">MOJ/APR/2025/1187</w:t>
      </w:r>
    </w:p>
    <w:bookmarkEnd w:id="25"/>
    <w:bookmarkStart w:id="27" w:name="X4db758a186ef67875548c0af1a384d1f7aa3b20"/>
    <w:p>
      <w:pPr>
        <w:pStyle w:val="Heading2"/>
      </w:pPr>
      <w:r>
        <w:t xml:space="preserve">Line Items – Judicial Supplies for the Judge</w:t>
      </w:r>
    </w:p>
    <w:p>
      <w:pPr>
        <w:pStyle w:val="FirstParagraph"/>
      </w:pPr>
      <w:r>
        <w:t xml:space="preserve">The following</w:t>
      </w:r>
      <w:r>
        <w:t xml:space="preserve"> </w:t>
      </w:r>
      <w:r>
        <w:t xml:space="preserve">Purchase Order</w:t>
      </w:r>
      <w:r>
        <w:t xml:space="preserve"> </w:t>
      </w:r>
      <w:r>
        <w:t xml:space="preserve">covers the procurement of specialized equipment, furnishings, and materials required for the</w:t>
      </w:r>
      <w:r>
        <w:t xml:space="preserve"> </w:t>
      </w:r>
      <w:r>
        <w:t xml:space="preserve">Judge</w:t>
      </w:r>
      <w:r>
        <w:t xml:space="preserve"> </w:t>
      </w:r>
      <w:r>
        <w:t xml:space="preserve">presiding over the newly established Commercial Tribunal at the Supreme Court in</w:t>
      </w:r>
      <w:r>
        <w:t xml:space="preserve"> </w:t>
      </w:r>
      <w:r>
        <w:t xml:space="preserve">Kuwait, Kuwait City</w:t>
      </w:r>
      <w:r>
        <w:t xml:space="preserve">. All items must comply with the specifications outlined by the Judicial Affairs Committee and meet the standards set forth by the Ministry of Justice procurement regulations.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Official Judge's Robe – Black, full-length, with gold embroidery on cuffs and collar, tailored to fit the presiding Judge. Fabric: 100% premium wool blend, lined with silk. Must bear the national emblem of Kuwait on the left breast.</w:t>
            </w:r>
          </w:p>
        </w:tc>
        <w:tc>
          <w:tcPr/>
          <w:p>
            <w:pPr>
              <w:pStyle w:val="Compact"/>
              <w:jc w:val="left"/>
            </w:pPr>
            <w:r>
              <w:t xml:space="preserve">3</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For the presiding Judge and two associate Judges</w:t>
            </w:r>
          </w:p>
        </w:tc>
      </w:tr>
      <w:tr>
        <w:tc>
          <w:tcPr/>
          <w:p>
            <w:pPr>
              <w:pStyle w:val="Compact"/>
              <w:jc w:val="left"/>
            </w:pPr>
            <w:r>
              <w:t xml:space="preserve">2</w:t>
            </w:r>
          </w:p>
        </w:tc>
        <w:tc>
          <w:tcPr/>
          <w:p>
            <w:pPr>
              <w:pStyle w:val="Compact"/>
              <w:jc w:val="left"/>
            </w:pPr>
            <w:r>
              <w:t xml:space="preserve">Judge's Gavel – Solid walnut wood with brass ferrule, 18 cm length, accompanied by a matching sound block. Engraved with the words "Court of Kuwait" in Arabic and English.</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One per Judge's bench</w:t>
            </w:r>
          </w:p>
        </w:tc>
      </w:tr>
      <w:tr>
        <w:tc>
          <w:tcPr/>
          <w:p>
            <w:pPr>
              <w:pStyle w:val="Compact"/>
              <w:jc w:val="left"/>
            </w:pPr>
            <w:r>
              <w:t xml:space="preserve">3</w:t>
            </w:r>
          </w:p>
        </w:tc>
        <w:tc>
          <w:tcPr/>
          <w:p>
            <w:pPr>
              <w:pStyle w:val="Compact"/>
              <w:jc w:val="left"/>
            </w:pPr>
            <w:r>
              <w:t xml:space="preserve">Judge's Bench – Custom-built, mahogany wood, 240 cm wide, 90 cm deep, 110 cm high. Includes integrated document tray, built-in LED task lighting, and cable management system. Must accommodate the Judge's official seal and nameplate.</w:t>
            </w:r>
          </w:p>
        </w:tc>
        <w:tc>
          <w:tcPr/>
          <w:p>
            <w:pPr>
              <w:pStyle w:val="Compact"/>
              <w:jc w:val="left"/>
            </w:pPr>
            <w:r>
              <w:t xml:space="preserve">3</w:t>
            </w:r>
          </w:p>
        </w:tc>
        <w:tc>
          <w:tcPr/>
          <w:p>
            <w:pPr>
              <w:pStyle w:val="Compact"/>
              <w:jc w:val="left"/>
            </w:pPr>
            <w:r>
              <w:t xml:space="preserve">2,800.000</w:t>
            </w:r>
          </w:p>
        </w:tc>
        <w:tc>
          <w:tcPr/>
          <w:p>
            <w:pPr>
              <w:pStyle w:val="Compact"/>
              <w:jc w:val="left"/>
            </w:pPr>
            <w:r>
              <w:t xml:space="preserve">8,400.000</w:t>
            </w:r>
          </w:p>
        </w:tc>
        <w:tc>
          <w:tcPr/>
          <w:p>
            <w:pPr>
              <w:pStyle w:val="Compact"/>
              <w:jc w:val="left"/>
            </w:pPr>
            <w:r>
              <w:t xml:space="preserve">Delivered and installed at Kuwait Kuwait City courthouse</w:t>
            </w:r>
          </w:p>
        </w:tc>
      </w:tr>
      <w:tr>
        <w:tc>
          <w:tcPr/>
          <w:p>
            <w:pPr>
              <w:pStyle w:val="Compact"/>
              <w:jc w:val="left"/>
            </w:pPr>
            <w:r>
              <w:t xml:space="preserve">4</w:t>
            </w:r>
          </w:p>
        </w:tc>
        <w:tc>
          <w:tcPr/>
          <w:p>
            <w:pPr>
              <w:pStyle w:val="Compact"/>
              <w:jc w:val="left"/>
            </w:pPr>
            <w:r>
              <w:t xml:space="preserve">Judge's Official Seal – Hand-carved wax seal, 6 cm diameter, brass handle, engraved with the Judge's name and the title "Judge, Commercial Tribunal, Kuwait."</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Personalized per Judge</w:t>
            </w:r>
          </w:p>
        </w:tc>
      </w:tr>
      <w:tr>
        <w:tc>
          <w:tcPr/>
          <w:p>
            <w:pPr>
              <w:pStyle w:val="Compact"/>
              <w:jc w:val="left"/>
            </w:pPr>
            <w:r>
              <w:t xml:space="preserve">5</w:t>
            </w:r>
          </w:p>
        </w:tc>
        <w:tc>
          <w:tcPr/>
          <w:p>
            <w:pPr>
              <w:pStyle w:val="Compact"/>
              <w:jc w:val="left"/>
            </w:pPr>
            <w:r>
              <w:t xml:space="preserve">Legal Reference Library Set – Complete set of Kuwaiti Civil Code, Commercial Code, Penal Code, and Sharia Law compilations (2024 editions), bound in leather with gold-leaf titles. Includes 12 volumes.</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c>
          <w:tcPr/>
          <w:p>
            <w:pPr>
              <w:pStyle w:val="Compact"/>
              <w:jc w:val="left"/>
            </w:pPr>
            <w:r>
              <w:t xml:space="preserve">For the Judge's private chambers</w:t>
            </w:r>
          </w:p>
        </w:tc>
      </w:tr>
      <w:tr>
        <w:tc>
          <w:tcPr/>
          <w:p>
            <w:pPr>
              <w:pStyle w:val="Compact"/>
              <w:jc w:val="left"/>
            </w:pPr>
            <w:r>
              <w:t xml:space="preserve">6</w:t>
            </w:r>
          </w:p>
        </w:tc>
        <w:tc>
          <w:tcPr/>
          <w:p>
            <w:pPr>
              <w:pStyle w:val="Compact"/>
              <w:jc w:val="left"/>
            </w:pPr>
            <w:r>
              <w:t xml:space="preserve">Electronic Case Management Terminal – 27-inch 4K display, i7 processor, 32 GB RAM, 1 TB SSD, encrypted storage, dual-monitor setup. Pre-loaded with the Kuwaiti Judicial Information System (KJIS) software.</w:t>
            </w:r>
          </w:p>
        </w:tc>
        <w:tc>
          <w:tcPr/>
          <w:p>
            <w:pPr>
              <w:pStyle w:val="Compact"/>
              <w:jc w:val="left"/>
            </w:pPr>
            <w:r>
              <w:t xml:space="preserve">3</w:t>
            </w:r>
          </w:p>
        </w:tc>
        <w:tc>
          <w:tcPr/>
          <w:p>
            <w:pPr>
              <w:pStyle w:val="Compact"/>
              <w:jc w:val="left"/>
            </w:pPr>
            <w:r>
              <w:t xml:space="preserve">1,950.000</w:t>
            </w:r>
          </w:p>
        </w:tc>
        <w:tc>
          <w:tcPr/>
          <w:p>
            <w:pPr>
              <w:pStyle w:val="Compact"/>
              <w:jc w:val="left"/>
            </w:pPr>
            <w:r>
              <w:t xml:space="preserve">5,850.000</w:t>
            </w:r>
          </w:p>
        </w:tc>
        <w:tc>
          <w:tcPr/>
          <w:p>
            <w:pPr>
              <w:pStyle w:val="Compact"/>
              <w:jc w:val="left"/>
            </w:pPr>
            <w:r>
              <w:t xml:space="preserve">For the Judge's digital case review</w:t>
            </w:r>
          </w:p>
        </w:tc>
      </w:tr>
      <w:tr>
        <w:tc>
          <w:tcPr/>
          <w:p>
            <w:pPr>
              <w:pStyle w:val="Compact"/>
              <w:jc w:val="left"/>
            </w:pPr>
            <w:r>
              <w:t xml:space="preserve">7</w:t>
            </w:r>
          </w:p>
        </w:tc>
        <w:tc>
          <w:tcPr/>
          <w:p>
            <w:pPr>
              <w:pStyle w:val="Compact"/>
              <w:jc w:val="left"/>
            </w:pPr>
            <w:r>
              <w:t xml:space="preserve">Courtroom Audio-Visual System – Ceiling-mounted speakers (4 units), digital microphone array for the Judge's bench, and a 65-inch display for evidence presentation. Includes installation and calibration.</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For the main hearing room in Kuwait Kuwait City</w:t>
            </w:r>
          </w:p>
        </w:tc>
      </w:tr>
      <w:tr>
        <w:tc>
          <w:tcPr/>
          <w:p>
            <w:pPr>
              <w:pStyle w:val="Compact"/>
              <w:jc w:val="left"/>
            </w:pPr>
            <w:r>
              <w:t xml:space="preserve">8</w:t>
            </w:r>
          </w:p>
        </w:tc>
        <w:tc>
          <w:tcPr/>
          <w:p>
            <w:pPr>
              <w:pStyle w:val="Compact"/>
              <w:jc w:val="left"/>
            </w:pPr>
            <w:r>
              <w:t xml:space="preserve">Judge's Office Furniture Package – Executive desk chair (ergonomic, leather), filing cabinet (4-drawer, fire-resistant), bookshelf (6-tier, mahogany), and document organizer set.</w:t>
            </w:r>
          </w:p>
        </w:tc>
        <w:tc>
          <w:tcPr/>
          <w:p>
            <w:pPr>
              <w:pStyle w:val="Compact"/>
              <w:jc w:val="left"/>
            </w:pPr>
            <w:r>
              <w:t xml:space="preserve">3</w:t>
            </w:r>
          </w:p>
        </w:tc>
        <w:tc>
          <w:tcPr/>
          <w:p>
            <w:pPr>
              <w:pStyle w:val="Compact"/>
              <w:jc w:val="left"/>
            </w:pPr>
            <w:r>
              <w:t xml:space="preserve">1,100.000</w:t>
            </w:r>
          </w:p>
        </w:tc>
        <w:tc>
          <w:tcPr/>
          <w:p>
            <w:pPr>
              <w:pStyle w:val="Compact"/>
              <w:jc w:val="left"/>
            </w:pPr>
            <w:r>
              <w:t xml:space="preserve">3,300.000</w:t>
            </w:r>
          </w:p>
        </w:tc>
        <w:tc>
          <w:tcPr/>
          <w:p>
            <w:pPr>
              <w:pStyle w:val="Compact"/>
              <w:jc w:val="left"/>
            </w:pPr>
            <w:r>
              <w:t xml:space="preserve">For the Judge's private office</w:t>
            </w:r>
          </w:p>
        </w:tc>
      </w:tr>
      <w:tr>
        <w:tc>
          <w:tcPr/>
          <w:p>
            <w:pPr>
              <w:pStyle w:val="Compact"/>
              <w:jc w:val="left"/>
            </w:pPr>
            <w:r>
              <w:t xml:space="preserve">9</w:t>
            </w:r>
          </w:p>
        </w:tc>
        <w:tc>
          <w:tcPr/>
          <w:p>
            <w:pPr>
              <w:pStyle w:val="Compact"/>
              <w:jc w:val="left"/>
            </w:pPr>
            <w:r>
              <w:t xml:space="preserve">Security and Access Control – Biometric access panel for the Judge's chambers, CCTV camera (4K, 360-degree), and encrypted intercom system. Installation by certified technicians.</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c>
          <w:tcPr/>
          <w:p>
            <w:pPr>
              <w:pStyle w:val="Compact"/>
              <w:jc w:val="left"/>
            </w:pPr>
            <w:r>
              <w:t xml:space="preserve">Compliant with Kuwaiti data protection law</w:t>
            </w:r>
          </w:p>
        </w:tc>
      </w:tr>
      <w:tr>
        <w:tc>
          <w:tcPr/>
          <w:p>
            <w:pPr>
              <w:pStyle w:val="Compact"/>
              <w:jc w:val="left"/>
            </w:pPr>
            <w:r>
              <w:t xml:space="preserve">10</w:t>
            </w:r>
          </w:p>
        </w:tc>
        <w:tc>
          <w:tcPr/>
          <w:p>
            <w:pPr>
              <w:pStyle w:val="Compact"/>
              <w:jc w:val="left"/>
            </w:pPr>
            <w:r>
              <w:t xml:space="preserve">Contingency and Miscellaneous – Shipping, insurance, customs clearance (if applicable), packaging, and any incidental costs associated with the delivery of all items listed in this Purchase Order to the designated location in Kuwait, Kuwait City.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Flat rate, non-negotiable</w:t>
            </w:r>
          </w:p>
        </w:tc>
      </w:tr>
      <w:tr>
        <w:tc>
          <w:tcPr>
            <w:gridSpan w:val="4"/>
          </w:tcPr>
          <w:p>
            <w:pPr>
              <w:pStyle w:val="Compact"/>
              <w:jc w:val="right"/>
            </w:pPr>
            <w:r>
              <w:t xml:space="preserve">Subtotal:</w:t>
            </w:r>
          </w:p>
        </w:tc>
        <w:tc>
          <w:tcPr/>
          <w:p>
            <w:pPr>
              <w:pStyle w:val="Compact"/>
              <w:jc w:val="left"/>
            </w:pPr>
            <w:r>
              <w:t xml:space="preserve">30,005.000</w:t>
            </w:r>
          </w:p>
        </w:tc>
        <w:tc>
          <w:tcPr/>
          <w:p>
            <w:pPr>
              <w:pStyle w:val="Compact"/>
            </w:pPr>
          </w:p>
        </w:tc>
      </w:tr>
      <w:tr>
        <w:tc>
          <w:tcPr>
            <w:gridSpan w:val="4"/>
          </w:tcPr>
          <w:p>
            <w:pPr>
              <w:pStyle w:val="Compact"/>
              <w:jc w:val="right"/>
            </w:pPr>
            <w:r>
              <w:t xml:space="preserve">VAT (5%):</w:t>
            </w:r>
          </w:p>
        </w:tc>
        <w:tc>
          <w:tcPr/>
          <w:p>
            <w:pPr>
              <w:pStyle w:val="Compact"/>
              <w:jc w:val="left"/>
            </w:pPr>
            <w:r>
              <w:t xml:space="preserve">1,500.250</w:t>
            </w:r>
          </w:p>
        </w:tc>
        <w:tc>
          <w:tcPr/>
          <w:p>
            <w:pPr>
              <w:pStyle w:val="Compact"/>
            </w:pPr>
          </w:p>
        </w:tc>
      </w:tr>
      <w:tr>
        <w:tc>
          <w:tcPr>
            <w:gridSpan w:val="4"/>
          </w:tcPr>
          <w:p>
            <w:pPr>
              <w:pStyle w:val="Compact"/>
              <w:jc w:val="right"/>
            </w:pPr>
            <w:r>
              <w:t xml:space="preserve">Grand Total (KWD):</w:t>
            </w:r>
          </w:p>
        </w:tc>
        <w:tc>
          <w:tcPr/>
          <w:p>
            <w:pPr>
              <w:pStyle w:val="Compact"/>
              <w:jc w:val="left"/>
            </w:pPr>
            <w:r>
              <w:t xml:space="preserve">31,505.250</w:t>
            </w:r>
          </w:p>
        </w:tc>
        <w:tc>
          <w:tcPr/>
          <w:p>
            <w:pPr>
              <w:pStyle w:val="Compact"/>
            </w:pPr>
          </w:p>
        </w:tc>
      </w:tr>
    </w:tbl>
    <w:p>
      <w:pPr>
        <w:pStyle w:val="BodyText"/>
      </w:pPr>
      <w:r>
        <w:rPr>
          <w:bCs/>
          <w:b/>
        </w:rPr>
        <w:t xml:space="preserve">Important Note:</w:t>
      </w:r>
      <w:r>
        <w:t xml:space="preserve"> </w:t>
      </w:r>
      <w:r>
        <w:t xml:space="preserve">All items procured under this</w:t>
      </w:r>
      <w:r>
        <w:t xml:space="preserve"> </w:t>
      </w:r>
      <w:r>
        <w:t xml:space="preserve">Purchase Order</w:t>
      </w:r>
      <w:r>
        <w:t xml:space="preserve"> </w:t>
      </w:r>
      <w:r>
        <w:t xml:space="preserve">are intended exclusively for the use of the</w:t>
      </w:r>
      <w:r>
        <w:t xml:space="preserve"> </w:t>
      </w:r>
      <w:r>
        <w:t xml:space="preserve">Judge</w:t>
      </w:r>
      <w:r>
        <w:t xml:space="preserve"> </w:t>
      </w:r>
      <w:r>
        <w:t xml:space="preserve">and the Judicial Administration of the Supreme Court located in</w:t>
      </w:r>
      <w:r>
        <w:t xml:space="preserve"> </w:t>
      </w:r>
      <w:r>
        <w:t xml:space="preserve">Kuwait, Kuwait City</w:t>
      </w:r>
      <w:r>
        <w:t xml:space="preserve">. The vendor is required to provide a minimum two-year warranty on all manufactured goods and a one-year warranty on electronic equipment. Any defective items must be replaced within fourteen (14) calendar days of notification.</w:t>
      </w:r>
    </w:p>
    <w:bookmarkStart w:id="26"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(PO No. KWT-JUD-2025-00472) constitutes a binding agreement between the Ministry of Justice of the Republic of Kuwait and Al-Nakheel Judicial Supplies Co. W.L.L. upon acceptance by both parties.</w:t>
      </w:r>
    </w:p>
    <w:p>
      <w:pPr>
        <w:numPr>
          <w:ilvl w:val="0"/>
          <w:numId w:val="1001"/>
        </w:numPr>
        <w:pStyle w:val="Compact"/>
      </w:pPr>
      <w:r>
        <w:t xml:space="preserve">All goods must be delivered to the Supreme Court premises at Al-Salem Street, Block 1,</w:t>
      </w:r>
      <w:r>
        <w:t xml:space="preserve"> </w:t>
      </w:r>
      <w:r>
        <w:t xml:space="preserve">Kuwait, Kuwait City</w:t>
      </w:r>
      <w:r>
        <w:t xml:space="preserve">, no later than 15 July 2025. Late delivery shall incur a penalty of 0.5% of the total order value per calendar day of delay, up to a maximum of 10%.</w:t>
      </w:r>
    </w:p>
    <w:p>
      <w:pPr>
        <w:numPr>
          <w:ilvl w:val="0"/>
          <w:numId w:val="1001"/>
        </w:numPr>
        <w:pStyle w:val="Compact"/>
      </w:pPr>
      <w:r>
        <w:t xml:space="preserve">The</w:t>
      </w:r>
      <w:r>
        <w:t xml:space="preserve"> </w:t>
      </w:r>
      <w:r>
        <w:t xml:space="preserve">Judge</w:t>
      </w:r>
      <w:r>
        <w:t xml:space="preserve"> </w:t>
      </w:r>
      <w:r>
        <w:t xml:space="preserve">for whom the robes, seals, and personalized items are intended shall be present or represented by an authorized court administrator at the time of delivery to inspect and sign the acceptance certificate.</w:t>
      </w:r>
    </w:p>
    <w:p>
      <w:pPr>
        <w:numPr>
          <w:ilvl w:val="0"/>
          <w:numId w:val="1001"/>
        </w:numPr>
        <w:pStyle w:val="Compact"/>
      </w:pPr>
      <w:r>
        <w:t xml:space="preserve">Payment shall be made via bank transfer to the vendor's designated account within thirty (30) days of receipt of a valid tax invoice and signed delivery confirmation. The Ministry of Justice reserves the right to withhold payment for any items found to be non-conforming.</w:t>
      </w:r>
    </w:p>
    <w:p>
      <w:pPr>
        <w:numPr>
          <w:ilvl w:val="0"/>
          <w:numId w:val="1001"/>
        </w:numPr>
        <w:pStyle w:val="Compact"/>
      </w:pPr>
      <w:r>
        <w:t xml:space="preserve">The vendor shall comply with all applicable Kuwaiti laws, including the Public Procurement Law (Law No. 48 of 2016), the Commercial Companies Law, and the Data Protection Law. All electronic equipment must be certified by the Kuwait Authority for Public Information (KAPI).</w:t>
      </w:r>
    </w:p>
    <w:p>
      <w:pPr>
        <w:numPr>
          <w:ilvl w:val="0"/>
          <w:numId w:val="1001"/>
        </w:numPr>
        <w:pStyle w:val="Compact"/>
      </w:pPr>
      <w:r>
        <w:t xml:space="preserve">Intellectual property: All custom engravings, embroidery, and personalized items produced under this</w:t>
      </w:r>
      <w:r>
        <w:t xml:space="preserve"> </w:t>
      </w:r>
      <w:r>
        <w:t xml:space="preserve">Purchase Order</w:t>
      </w:r>
      <w:r>
        <w:t xml:space="preserve"> </w:t>
      </w:r>
      <w:r>
        <w:t xml:space="preserve">shall remain the exclusive property of the Ministry of Justice. The vendor shall not reproduce, sell, or distribute any designs created specifically for the</w:t>
      </w:r>
      <w:r>
        <w:t xml:space="preserve"> </w:t>
      </w:r>
      <w:r>
        <w:t xml:space="preserve">Judge</w:t>
      </w:r>
      <w:r>
        <w:t xml:space="preserve"> </w:t>
      </w:r>
      <w:r>
        <w:t xml:space="preserve">without written consent.</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the Kuwaiti courts of competent jurisdiction in</w:t>
      </w:r>
      <w:r>
        <w:t xml:space="preserve"> </w:t>
      </w:r>
      <w:r>
        <w:t xml:space="preserve">Kuwait, Kuwait City</w:t>
      </w:r>
      <w:r>
        <w:t xml:space="preserve">. The parties agree to attempt mediation before initiating litigation.</w:t>
      </w:r>
    </w:p>
    <w:p>
      <w:pPr>
        <w:numPr>
          <w:ilvl w:val="0"/>
          <w:numId w:val="1001"/>
        </w:numPr>
        <w:pStyle w:val="Compact"/>
      </w:pPr>
      <w:r>
        <w:t xml:space="preserve">This</w:t>
      </w:r>
      <w:r>
        <w:t xml:space="preserve"> </w:t>
      </w:r>
      <w:r>
        <w:t xml:space="preserve">Purchase Order</w:t>
      </w:r>
      <w:r>
        <w:t xml:space="preserve"> </w:t>
      </w:r>
      <w:r>
        <w:t xml:space="preserve">may not be amended, modified, or supplemented except by a written addendum signed by both parties. Verbal agreements are expressly void.</w:t>
      </w:r>
    </w:p>
    <w:p>
      <w:pPr>
        <w:numPr>
          <w:ilvl w:val="0"/>
          <w:numId w:val="1001"/>
        </w:numPr>
        <w:pStyle w:val="Compact"/>
      </w:pPr>
      <w:r>
        <w:t xml:space="preserve">The vendor shall maintain full insurance coverage for all goods in transit and during installation. The Ministry of Justice shall not be liable for any loss or damage occurring prior to the formal acceptance of delivery.</w:t>
      </w:r>
    </w:p>
    <w:p>
      <w:pPr>
        <w:numPr>
          <w:ilvl w:val="0"/>
          <w:numId w:val="1001"/>
        </w:numPr>
        <w:pStyle w:val="Compact"/>
      </w:pPr>
      <w:r>
        <w:t xml:space="preserve">All documentation, including invoices, packing lists, certificates of origin, and warranty cards, must be submitted in both Arabic and English.</w:t>
      </w:r>
    </w:p>
    <w:bookmarkEnd w:id="26"/>
    <w:p>
      <w:pPr>
        <w:pStyle w:val="FirstParagraph"/>
      </w:pPr>
      <w:r>
        <w:rPr>
          <w:bCs/>
          <w:b/>
        </w:rPr>
        <w:t xml:space="preserve">For the Ministry of Justice</w:t>
      </w:r>
    </w:p>
    <w:p>
      <w:pPr>
        <w:pStyle w:val="BodyText"/>
      </w:pPr>
      <w:r>
        <w:t xml:space="preserve">Republic of Kuwait</w:t>
      </w:r>
    </w:p>
    <w:p>
      <w:pPr>
        <w:pStyle w:val="BodyText"/>
      </w:pPr>
      <w:r>
        <w:t xml:space="preserve">H.E. Dr. Khalid Al-Mubarak Al-Sabah</w:t>
      </w:r>
    </w:p>
    <w:p>
      <w:pPr>
        <w:pStyle w:val="BodyText"/>
      </w:pPr>
      <w:r>
        <w:t xml:space="preserve">Minister of Justice</w:t>
      </w:r>
    </w:p>
    <w:p>
      <w:pPr>
        <w:pStyle w:val="BodyText"/>
      </w:pPr>
      <w:r>
        <w:t xml:space="preserve">Date: _______________</w:t>
      </w:r>
    </w:p>
    <w:p>
      <w:pPr>
        <w:pStyle w:val="BodyText"/>
      </w:pPr>
      <w:r>
        <w:rPr>
          <w:bCs/>
          <w:b/>
        </w:rPr>
        <w:t xml:space="preserve">For the Vendor</w:t>
      </w:r>
    </w:p>
    <w:p>
      <w:pPr>
        <w:pStyle w:val="BodyText"/>
      </w:pPr>
      <w:r>
        <w:t xml:space="preserve">Al-Nakheel Judicial Supplies Co. W.L.L.</w:t>
      </w:r>
    </w:p>
    <w:p>
      <w:pPr>
        <w:pStyle w:val="BodyText"/>
      </w:pPr>
      <w:r>
        <w:t xml:space="preserve">Mr. Faisal Al-Harbi</w:t>
      </w:r>
    </w:p>
    <w:p>
      <w:pPr>
        <w:pStyle w:val="BodyText"/>
      </w:pPr>
      <w:r>
        <w:t xml:space="preserve">Managing Director</w:t>
      </w:r>
    </w:p>
    <w:p>
      <w:pPr>
        <w:pStyle w:val="BodyText"/>
      </w:pPr>
      <w:r>
        <w:t xml:space="preserve">Date: _______________</w:t>
      </w:r>
    </w:p>
    <w:p>
      <w:pPr>
        <w:pStyle w:val="BodyText"/>
      </w:pPr>
      <w:r>
        <w:rPr>
          <w:bCs/>
          <w:b/>
        </w:rPr>
        <w:t xml:space="preserve">Witness / Court Administrator</w:t>
      </w:r>
    </w:p>
    <w:p>
      <w:pPr>
        <w:pStyle w:val="BodyText"/>
      </w:pPr>
      <w:r>
        <w:t xml:space="preserve">Supreme Court, Kuwait Kuwait City</w:t>
      </w:r>
    </w:p>
    <w:p>
      <w:pPr>
        <w:pStyle w:val="BodyText"/>
      </w:pPr>
      <w:r>
        <w:t xml:space="preserve">Ms. Layla Al-Saadi</w:t>
      </w:r>
    </w:p>
    <w:p>
      <w:pPr>
        <w:pStyle w:val="BodyText"/>
      </w:pPr>
      <w:r>
        <w:t xml:space="preserve">Chief Court Administrator</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is an official document of the Ministry of Justice, Republic of Kuwait. It is issued for the procurement of judicial supplies for the</w:t>
      </w:r>
      <w:r>
        <w:t xml:space="preserve"> </w:t>
      </w:r>
      <w:r>
        <w:t xml:space="preserve">Judge</w:t>
      </w:r>
      <w:r>
        <w:t xml:space="preserve"> </w:t>
      </w:r>
      <w:r>
        <w:t xml:space="preserve">of the Commercial Tribunal, Supreme Court,</w:t>
      </w:r>
      <w:r>
        <w:t xml:space="preserve"> </w:t>
      </w:r>
      <w:r>
        <w:t xml:space="preserve">Kuwait, Kuwait City</w:t>
      </w:r>
      <w:r>
        <w:t xml:space="preserve">.</w:t>
      </w:r>
    </w:p>
    <w:p>
      <w:pPr>
        <w:pStyle w:val="BodyText"/>
      </w:pPr>
      <w:r>
        <w:t xml:space="preserve">Document Reference: KWT-JUD-2025-00472 | Classification: Official – Internal Use | Page 1 of 1</w:t>
      </w:r>
    </w:p>
    <w:p>
      <w:pPr>
        <w:pStyle w:val="BodyText"/>
      </w:pPr>
      <w:r>
        <w:t xml:space="preserve">© 2025 Ministry of Justice, Republic of Kuwait.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Supplies - Kuwait Kuwait City</dc:title>
  <dc:creator/>
  <dc:language>en</dc:language>
  <cp:keywords/>
  <dcterms:created xsi:type="dcterms:W3CDTF">2026-10-10T06:17:17Z</dcterms:created>
  <dcterms:modified xsi:type="dcterms:W3CDTF">2026-10-10T06:17:17Z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