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Equipment</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PO No: KL-JDG-2025-0047</w:t>
      </w:r>
    </w:p>
    <w:p>
      <w:pPr>
        <w:pStyle w:val="BodyText"/>
      </w:pPr>
      <w:r>
        <w:t xml:space="preserve">Date of Issue: 15 June 2025</w:t>
      </w:r>
    </w:p>
    <w:p>
      <w:pPr>
        <w:pStyle w:val="BodyText"/>
      </w:pPr>
      <w:r>
        <w:t xml:space="preserve">Valid Until: 15 July 2025</w:t>
      </w:r>
    </w:p>
    <w:p>
      <w:pPr>
        <w:pStyle w:val="BodyText"/>
      </w:pPr>
      <w:r>
        <w:t xml:space="preserve">Issued in Malaysia Kuala Lumpur</w:t>
      </w:r>
    </w:p>
    <w:bookmarkEnd w:id="20"/>
    <w:bookmarkStart w:id="21" w:name="buyer-requisitioning-authority"/>
    <w:p>
      <w:pPr>
        <w:pStyle w:val="Heading3"/>
      </w:pPr>
      <w:r>
        <w:t xml:space="preserve">Buyer / Requisitioning Authority</w:t>
      </w:r>
    </w:p>
    <w:p>
      <w:pPr>
        <w:pStyle w:val="FirstParagraph"/>
      </w:pPr>
      <w:r>
        <w:rPr>
          <w:bCs/>
          <w:b/>
        </w:rPr>
        <w:t xml:space="preserve">Ministry of Justice of Malaysia</w:t>
      </w:r>
    </w:p>
    <w:p>
      <w:pPr>
        <w:pStyle w:val="BodyText"/>
      </w:pPr>
      <w:r>
        <w:t xml:space="preserve">High Court of Malaya, Kuala Lumpur</w:t>
      </w:r>
    </w:p>
    <w:p>
      <w:pPr>
        <w:pStyle w:val="BodyText"/>
      </w:pPr>
      <w:r>
        <w:t xml:space="preserve">Level 12, Menara Keadilan</w:t>
      </w:r>
    </w:p>
    <w:p>
      <w:pPr>
        <w:pStyle w:val="BodyText"/>
      </w:pPr>
      <w:r>
        <w:t xml:space="preserve">50678 Kuala Lumpur, Wilayah Persekutuan</w:t>
      </w:r>
    </w:p>
    <w:p>
      <w:pPr>
        <w:pStyle w:val="BodyText"/>
      </w:pPr>
      <w:r>
        <w:t xml:space="preserve">Malaysia</w:t>
      </w:r>
    </w:p>
    <w:p>
      <w:pPr>
        <w:pStyle w:val="BodyText"/>
      </w:pPr>
      <w:r>
        <w:t xml:space="preserve">Attn: Hon. Chief Registrar, Judge's Office</w:t>
      </w:r>
    </w:p>
    <w:p>
      <w:pPr>
        <w:pStyle w:val="BodyText"/>
      </w:pPr>
      <w:r>
        <w:t xml:space="preserve">Contact: registrar@court.gov.my</w:t>
      </w:r>
    </w:p>
    <w:p>
      <w:pPr>
        <w:pStyle w:val="BodyText"/>
      </w:pPr>
      <w:r>
        <w:t xml:space="preserve">Phone: +603-2691 1000</w:t>
      </w:r>
    </w:p>
    <w:bookmarkEnd w:id="21"/>
    <w:bookmarkStart w:id="22" w:name="supplier-vendor"/>
    <w:p>
      <w:pPr>
        <w:pStyle w:val="Heading3"/>
      </w:pPr>
      <w:r>
        <w:t xml:space="preserve">Supplier / Vendor</w:t>
      </w:r>
    </w:p>
    <w:p>
      <w:pPr>
        <w:pStyle w:val="FirstParagraph"/>
      </w:pPr>
      <w:r>
        <w:rPr>
          <w:bCs/>
          <w:b/>
        </w:rPr>
        <w:t xml:space="preserve">Malaysian Judicial Furnishings Sdn. Bhd.</w:t>
      </w:r>
    </w:p>
    <w:p>
      <w:pPr>
        <w:pStyle w:val="BodyText"/>
      </w:pPr>
      <w:r>
        <w:t xml:space="preserve">Lot 12, Jalan Pudu Industrial Park</w:t>
      </w:r>
    </w:p>
    <w:p>
      <w:pPr>
        <w:pStyle w:val="BodyText"/>
      </w:pPr>
      <w:r>
        <w:t xml:space="preserve">55120 Kuala Lumpur, Wilayah Persekutuan</w:t>
      </w:r>
    </w:p>
    <w:p>
      <w:pPr>
        <w:pStyle w:val="BodyText"/>
      </w:pPr>
      <w:r>
        <w:t xml:space="preserve">Malaysia</w:t>
      </w:r>
    </w:p>
    <w:p>
      <w:pPr>
        <w:pStyle w:val="BodyText"/>
      </w:pPr>
      <w:r>
        <w:t xml:space="preserve">Registration No: 200301456789</w:t>
      </w:r>
    </w:p>
    <w:p>
      <w:pPr>
        <w:pStyle w:val="BodyText"/>
      </w:pPr>
      <w:r>
        <w:t xml:space="preserve">Attn: Mr. Tan Wei Ming, Procurement Manager</w:t>
      </w:r>
    </w:p>
    <w:p>
      <w:pPr>
        <w:pStyle w:val="BodyText"/>
      </w:pPr>
      <w:r>
        <w:t xml:space="preserve">Contact: sales@mjfurnishings.my</w:t>
      </w:r>
    </w:p>
    <w:p>
      <w:pPr>
        <w:pStyle w:val="BodyText"/>
      </w:pPr>
      <w:r>
        <w:t xml:space="preserve">Phone: +603-9280 4455</w:t>
      </w:r>
    </w:p>
    <w:bookmarkEnd w:id="22"/>
    <w:bookmarkStart w:id="24" w:name="Xb0d008e33eced5af3e18108bd5978feeb351cb5"/>
    <w:p>
      <w:pPr>
        <w:pStyle w:val="Heading2"/>
      </w:pPr>
      <w:r>
        <w:t xml:space="preserve">Purchase Order Line Items – Judge Equipment and Courtroom Supplies</w:t>
      </w:r>
    </w:p>
    <w:p>
      <w:pPr>
        <w:pStyle w:val="FirstParagraph"/>
      </w:pPr>
      <w:r>
        <w:t xml:space="preserve">This Purchase Order is issued for the procurement of Judge-specific equipment, furnishings, and ceremonial items required for the High Court of Malaya, Kuala Lumpur. All items are to be delivered to the designated courtroom at Menara Keadilan, Kuala Lumpur, Malaysia.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Price (MYR)</w:t>
            </w:r>
          </w:p>
        </w:tc>
        <w:tc>
          <w:tcPr/>
          <w:p>
            <w:pPr>
              <w:pStyle w:val="Compact"/>
              <w:jc w:val="left"/>
            </w:pPr>
            <w:r>
              <w:t xml:space="preserve">Total (MYR)</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Judge's Bench – Solid Teak Wood, Custom Engraved with Malaysian Judicial Emblem, Height 110cm, Width 220cm, Depth 90cm, with integrated cable management and built-in microphone mount</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30 July 2025</w:t>
            </w:r>
          </w:p>
        </w:tc>
      </w:tr>
      <w:tr>
        <w:tc>
          <w:tcPr/>
          <w:p>
            <w:pPr>
              <w:pStyle w:val="Compact"/>
              <w:jc w:val="left"/>
            </w:pPr>
            <w:r>
              <w:t xml:space="preserve">2</w:t>
            </w:r>
          </w:p>
        </w:tc>
        <w:tc>
          <w:tcPr/>
          <w:p>
            <w:pPr>
              <w:pStyle w:val="Compact"/>
              <w:jc w:val="left"/>
            </w:pPr>
            <w:r>
              <w:t xml:space="preserve">Judge's Gavel – Solid Rosewood with Brass Base, 25cm length, engraved with "High Court of Malaya, Kuala Lumpur", presented in a velvet-lined mahogany case</w:t>
            </w:r>
          </w:p>
        </w:tc>
        <w:tc>
          <w:tcPr/>
          <w:p>
            <w:pPr>
              <w:pStyle w:val="Compact"/>
              <w:jc w:val="left"/>
            </w:pPr>
            <w:r>
              <w:t xml:space="preserve">4</w:t>
            </w:r>
          </w:p>
        </w:tc>
        <w:tc>
          <w:tcPr/>
          <w:p>
            <w:pPr>
              <w:pStyle w:val="Compact"/>
              <w:jc w:val="left"/>
            </w:pPr>
            <w:r>
              <w:t xml:space="preserve">1,250.00</w:t>
            </w:r>
          </w:p>
        </w:tc>
        <w:tc>
          <w:tcPr/>
          <w:p>
            <w:pPr>
              <w:pStyle w:val="Compact"/>
              <w:jc w:val="left"/>
            </w:pPr>
            <w:r>
              <w:t xml:space="preserve">5,000.00</w:t>
            </w:r>
          </w:p>
        </w:tc>
        <w:tc>
          <w:tcPr/>
          <w:p>
            <w:pPr>
              <w:pStyle w:val="Compact"/>
              <w:jc w:val="left"/>
            </w:pPr>
            <w:r>
              <w:t xml:space="preserve">30 July 2025</w:t>
            </w:r>
          </w:p>
        </w:tc>
      </w:tr>
      <w:tr>
        <w:tc>
          <w:tcPr/>
          <w:p>
            <w:pPr>
              <w:pStyle w:val="Compact"/>
              <w:jc w:val="left"/>
            </w:pPr>
            <w:r>
              <w:t xml:space="preserve">3</w:t>
            </w:r>
          </w:p>
        </w:tc>
        <w:tc>
          <w:tcPr/>
          <w:p>
            <w:pPr>
              <w:pStyle w:val="Compact"/>
              <w:jc w:val="left"/>
            </w:pPr>
            <w:r>
              <w:t xml:space="preserve">Judge's Robe – Black Wool Blend, Full Length, with Gold Embroidered Trim and Malaysian Judicial Crest, Sizes XL and XXL, tailored to specification</w:t>
            </w:r>
          </w:p>
        </w:tc>
        <w:tc>
          <w:tcPr/>
          <w:p>
            <w:pPr>
              <w:pStyle w:val="Compact"/>
              <w:jc w:val="left"/>
            </w:pPr>
            <w:r>
              <w:t xml:space="preserve">6</w:t>
            </w:r>
          </w:p>
        </w:tc>
        <w:tc>
          <w:tcPr/>
          <w:p>
            <w:pPr>
              <w:pStyle w:val="Compact"/>
              <w:jc w:val="left"/>
            </w:pPr>
            <w:r>
              <w:t xml:space="preserve">2,800.00</w:t>
            </w:r>
          </w:p>
        </w:tc>
        <w:tc>
          <w:tcPr/>
          <w:p>
            <w:pPr>
              <w:pStyle w:val="Compact"/>
              <w:jc w:val="left"/>
            </w:pPr>
            <w:r>
              <w:t xml:space="preserve">16,800.00</w:t>
            </w:r>
          </w:p>
        </w:tc>
        <w:tc>
          <w:tcPr/>
          <w:p>
            <w:pPr>
              <w:pStyle w:val="Compact"/>
              <w:jc w:val="left"/>
            </w:pPr>
            <w:r>
              <w:t xml:space="preserve">15 August 2025</w:t>
            </w:r>
          </w:p>
        </w:tc>
      </w:tr>
      <w:tr>
        <w:tc>
          <w:tcPr/>
          <w:p>
            <w:pPr>
              <w:pStyle w:val="Compact"/>
              <w:jc w:val="left"/>
            </w:pPr>
            <w:r>
              <w:t xml:space="preserve">4</w:t>
            </w:r>
          </w:p>
        </w:tc>
        <w:tc>
          <w:tcPr/>
          <w:p>
            <w:pPr>
              <w:pStyle w:val="Compact"/>
              <w:jc w:val="left"/>
            </w:pPr>
            <w:r>
              <w:t xml:space="preserve">Judge's Desk Chair – Executive Leather Upholstered, Ergonomic, Black, with Adjustable Lumbar Support, Casters, and Height Adjustment Mechanism</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30 July 2025</w:t>
            </w:r>
          </w:p>
        </w:tc>
      </w:tr>
      <w:tr>
        <w:tc>
          <w:tcPr/>
          <w:p>
            <w:pPr>
              <w:pStyle w:val="Compact"/>
              <w:jc w:val="left"/>
            </w:pPr>
            <w:r>
              <w:t xml:space="preserve">5</w:t>
            </w:r>
          </w:p>
        </w:tc>
        <w:tc>
          <w:tcPr/>
          <w:p>
            <w:pPr>
              <w:pStyle w:val="Compact"/>
              <w:jc w:val="left"/>
            </w:pPr>
            <w:r>
              <w:t xml:space="preserve">Judge's Document Tray and Pen Set – Brass and Leather, including 3 fountain pens (Parker Duofold), 2 document holders, and a leather-bound case</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15 August 2025</w:t>
            </w:r>
          </w:p>
        </w:tc>
      </w:tr>
      <w:tr>
        <w:tc>
          <w:tcPr/>
          <w:p>
            <w:pPr>
              <w:pStyle w:val="Compact"/>
              <w:jc w:val="left"/>
            </w:pPr>
            <w:r>
              <w:t xml:space="preserve">6</w:t>
            </w:r>
          </w:p>
        </w:tc>
        <w:tc>
          <w:tcPr/>
          <w:p>
            <w:pPr>
              <w:pStyle w:val="Compact"/>
              <w:jc w:val="left"/>
            </w:pPr>
            <w:r>
              <w:t xml:space="preserve">Courtroom Sound System for Judge's Podium – 4-Channel Amplifier, 2 Ceiling Speakers, 1 Podium Microphone (Shure SM58), and 10m Coiled Cable</w:t>
            </w:r>
          </w:p>
        </w:tc>
        <w:tc>
          <w:tcPr/>
          <w:p>
            <w:pPr>
              <w:pStyle w:val="Compact"/>
              <w:jc w:val="left"/>
            </w:pPr>
            <w:r>
              <w:t xml:space="preserve">2</w:t>
            </w:r>
          </w:p>
        </w:tc>
        <w:tc>
          <w:tcPr/>
          <w:p>
            <w:pPr>
              <w:pStyle w:val="Compact"/>
              <w:jc w:val="left"/>
            </w:pPr>
            <w:r>
              <w:t xml:space="preserve">7,800.00</w:t>
            </w:r>
          </w:p>
        </w:tc>
        <w:tc>
          <w:tcPr/>
          <w:p>
            <w:pPr>
              <w:pStyle w:val="Compact"/>
              <w:jc w:val="left"/>
            </w:pPr>
            <w:r>
              <w:t xml:space="preserve">15,600.00</w:t>
            </w:r>
          </w:p>
        </w:tc>
        <w:tc>
          <w:tcPr/>
          <w:p>
            <w:pPr>
              <w:pStyle w:val="Compact"/>
              <w:jc w:val="left"/>
            </w:pPr>
            <w:r>
              <w:t xml:space="preserve">30 July 2025</w:t>
            </w:r>
          </w:p>
        </w:tc>
      </w:tr>
      <w:tr>
        <w:tc>
          <w:tcPr/>
          <w:p>
            <w:pPr>
              <w:pStyle w:val="Compact"/>
              <w:jc w:val="left"/>
            </w:pPr>
            <w:r>
              <w:t xml:space="preserve">7</w:t>
            </w:r>
          </w:p>
        </w:tc>
        <w:tc>
          <w:tcPr/>
          <w:p>
            <w:pPr>
              <w:pStyle w:val="Compact"/>
              <w:jc w:val="left"/>
            </w:pPr>
            <w:r>
              <w:t xml:space="preserve">Judge's Seal and Stamp Set – Official Court Seal (3cm diameter, brass), 2 rubber stamps, and 1 ink pad, engraved with "High Court of Malaya, Kuala Lumpur, Malaysia"</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c>
          <w:tcPr/>
          <w:p>
            <w:pPr>
              <w:pStyle w:val="Compact"/>
              <w:jc w:val="left"/>
            </w:pPr>
            <w:r>
              <w:t xml:space="preserve">15 August 2025</w:t>
            </w:r>
          </w:p>
        </w:tc>
      </w:tr>
      <w:tr>
        <w:tc>
          <w:tcPr/>
          <w:p>
            <w:pPr>
              <w:pStyle w:val="Compact"/>
              <w:jc w:val="left"/>
            </w:pPr>
            <w:r>
              <w:t xml:space="preserve">8</w:t>
            </w:r>
          </w:p>
        </w:tc>
        <w:tc>
          <w:tcPr/>
          <w:p>
            <w:pPr>
              <w:pStyle w:val="Compact"/>
              <w:jc w:val="left"/>
            </w:pPr>
            <w:r>
              <w:t xml:space="preserve">Installation, Assembly, and Calibration Service – Professional installation of all Judge's bench, sound system, and furniture at the Kuala Lumpur courtroom, including electrical wiring and acoustic testing</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5 August 2025</w:t>
            </w:r>
          </w:p>
        </w:tc>
      </w:tr>
      <w:tr>
        <w:tc>
          <w:tcPr/>
          <w:p>
            <w:pPr>
              <w:pStyle w:val="Compact"/>
              <w:jc w:val="left"/>
            </w:pPr>
            <w:r>
              <w:t xml:space="preserve">9</w:t>
            </w:r>
          </w:p>
        </w:tc>
        <w:tc>
          <w:tcPr/>
          <w:p>
            <w:pPr>
              <w:pStyle w:val="Compact"/>
              <w:jc w:val="left"/>
            </w:pPr>
            <w:r>
              <w:t xml:space="preserve">Warranty and Maintenance Contract – 3-year comprehensive warranty covering all Judge equipment, including annual inspection, parts replacement, and priority repair service in Malaysia Kuala Lumpur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5 August 2025</w:t>
            </w:r>
          </w:p>
        </w:tc>
      </w:tr>
      <w:tr>
        <w:tc>
          <w:tcPr>
            <w:gridSpan w:val="4"/>
          </w:tcPr>
          <w:p>
            <w:pPr>
              <w:pStyle w:val="Compact"/>
              <w:jc w:val="right"/>
            </w:pPr>
            <w:r>
              <w:t xml:space="preserve">SUBTOTAL</w:t>
            </w:r>
          </w:p>
        </w:tc>
        <w:tc>
          <w:tcPr/>
          <w:p>
            <w:pPr>
              <w:pStyle w:val="Compact"/>
              <w:jc w:val="left"/>
            </w:pPr>
            <w:r>
              <w:t xml:space="preserve">120,100.00</w:t>
            </w:r>
          </w:p>
        </w:tc>
        <w:tc>
          <w:tcPr/>
          <w:p>
            <w:pPr>
              <w:pStyle w:val="Compact"/>
            </w:pPr>
          </w:p>
        </w:tc>
      </w:tr>
      <w:tr>
        <w:tc>
          <w:tcPr>
            <w:gridSpan w:val="4"/>
          </w:tcPr>
          <w:p>
            <w:pPr>
              <w:pStyle w:val="Compact"/>
              <w:jc w:val="right"/>
            </w:pPr>
            <w:r>
              <w:t xml:space="preserve">Sales Tax (SST) @ 10%</w:t>
            </w:r>
          </w:p>
        </w:tc>
        <w:tc>
          <w:tcPr/>
          <w:p>
            <w:pPr>
              <w:pStyle w:val="Compact"/>
              <w:jc w:val="left"/>
            </w:pPr>
            <w:r>
              <w:t xml:space="preserve">12,010.00</w:t>
            </w:r>
          </w:p>
        </w:tc>
        <w:tc>
          <w:tcPr/>
          <w:p>
            <w:pPr>
              <w:pStyle w:val="Compact"/>
            </w:pPr>
          </w:p>
        </w:tc>
      </w:tr>
      <w:tr>
        <w:tc>
          <w:tcPr>
            <w:gridSpan w:val="4"/>
          </w:tcPr>
          <w:p>
            <w:pPr>
              <w:pStyle w:val="Compact"/>
              <w:jc w:val="right"/>
            </w:pPr>
            <w:r>
              <w:t xml:space="preserve">GRAND TOTAL (MYR)</w:t>
            </w:r>
          </w:p>
        </w:tc>
        <w:tc>
          <w:tcPr/>
          <w:p>
            <w:pPr>
              <w:pStyle w:val="Compact"/>
              <w:jc w:val="left"/>
            </w:pPr>
            <w:r>
              <w:t xml:space="preserve">132,110.00</w:t>
            </w:r>
          </w:p>
        </w:tc>
        <w:tc>
          <w:tcPr/>
          <w:p>
            <w:pPr>
              <w:pStyle w:val="Compact"/>
            </w:pP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w:t>
      </w:r>
      <w:r>
        <w:t xml:space="preserve"> </w:t>
      </w:r>
      <w:r>
        <w:t xml:space="preserve">All items specified in this Purchase Order shall be delivered to the High Court of Malaya, Menara Keadilan, Kuala Lumpur, Malaysia. Delivery must be completed no later than 15 August 2025. The supplier is responsible for all transportation, insurance, and handling costs within Malaysia Kuala Lumpur.</w:t>
      </w:r>
    </w:p>
    <w:p>
      <w:pPr>
        <w:numPr>
          <w:ilvl w:val="0"/>
          <w:numId w:val="1001"/>
        </w:numPr>
        <w:pStyle w:val="Compact"/>
      </w:pPr>
      <w:r>
        <w:rPr>
          <w:bCs/>
          <w:b/>
        </w:rPr>
        <w:t xml:space="preserve">Payment Terms:</w:t>
      </w:r>
      <w:r>
        <w:t xml:space="preserve"> </w:t>
      </w:r>
      <w:r>
        <w:t xml:space="preserve">Payment shall be made within thirty (30) days from the date of confirmed delivery and acceptance of all Judge equipment by the Chief Registrar. Payment shall be made via bank transfer to the supplier's designated account. A 5% retention shall be withheld until the warranty period commences.</w:t>
      </w:r>
    </w:p>
    <w:p>
      <w:pPr>
        <w:numPr>
          <w:ilvl w:val="0"/>
          <w:numId w:val="1001"/>
        </w:numPr>
        <w:pStyle w:val="Compact"/>
      </w:pPr>
      <w:r>
        <w:rPr>
          <w:bCs/>
          <w:b/>
        </w:rPr>
        <w:t xml:space="preserve">Quality Assurance:</w:t>
      </w:r>
      <w:r>
        <w:t xml:space="preserve"> </w:t>
      </w:r>
      <w:r>
        <w:t xml:space="preserve">All Judge-specific items, including the Judge's bench, gavel, robes, and seals, must meet the specifications outlined in Annexure A of this Purchase Order. The buyer reserves the right to reject any item that does not conform to the agreed specifications or the Malaysian Standards (MS) for judicial furnishings.</w:t>
      </w:r>
    </w:p>
    <w:p>
      <w:pPr>
        <w:numPr>
          <w:ilvl w:val="0"/>
          <w:numId w:val="1001"/>
        </w:numPr>
        <w:pStyle w:val="Compact"/>
      </w:pPr>
      <w:r>
        <w:rPr>
          <w:bCs/>
          <w:b/>
        </w:rPr>
        <w:t xml:space="preserve">Warranty:</w:t>
      </w:r>
      <w:r>
        <w:t xml:space="preserve"> </w:t>
      </w:r>
      <w:r>
        <w:t xml:space="preserve">The supplier warrants that all Judge equipment is free from defects in materials and workmanship for a period of three (3) years from the date of installation. Any defects discovered during this warranty period shall be repaired or replaced at no additional cost to the buyer.</w:t>
      </w:r>
    </w:p>
    <w:p>
      <w:pPr>
        <w:numPr>
          <w:ilvl w:val="0"/>
          <w:numId w:val="1001"/>
        </w:numPr>
        <w:pStyle w:val="Compact"/>
      </w:pPr>
      <w:r>
        <w:rPr>
          <w:bCs/>
          <w:b/>
        </w:rPr>
        <w:t xml:space="preserve">Compliance:</w:t>
      </w:r>
      <w:r>
        <w:t xml:space="preserve"> </w:t>
      </w:r>
      <w:r>
        <w:t xml:space="preserve">This Purchase Order is governed by the laws of Malaysia. All transactions shall comply with the Malaysian Government Procurement Guidelines 2024 and the Federal Government Financial Regulations 1956. The supplier confirms that all items are sourced legally and comply with Malaysian import and customs regulations where applicable.</w:t>
      </w:r>
    </w:p>
    <w:p>
      <w:pPr>
        <w:numPr>
          <w:ilvl w:val="0"/>
          <w:numId w:val="1001"/>
        </w:numPr>
        <w:pStyle w:val="Compact"/>
      </w:pPr>
      <w:r>
        <w:rPr>
          <w:bCs/>
          <w:b/>
        </w:rPr>
        <w:t xml:space="preserve">Confidentiality:</w:t>
      </w:r>
      <w:r>
        <w:t xml:space="preserve"> </w:t>
      </w:r>
      <w:r>
        <w:t xml:space="preserve">The supplier acknowledges that this Purchase Order relates to the judicial branch of the Malaysian government. All information pertaining to the Judge's office, courtroom layout, and security arrangements must be treated as strictly confidential and shall not be disclosed to any third party without written consent from the Ministry of Justice of Malaysia.</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Kuala Lumpur, Malaysia, in accordance with the rules of the Malaysian Mediation Centre. If mediation fails, disputes shall be referred to the courts of Malaysia Kuala Lumpur.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directives, or civil unrest in Malaysia.</w:t>
      </w:r>
    </w:p>
    <w:bookmarkEnd w:id="23"/>
    <w:p>
      <w:pPr>
        <w:pStyle w:val="FirstParagraph"/>
      </w:pPr>
      <w:r>
        <w:rPr>
          <w:bCs/>
          <w:b/>
        </w:rPr>
        <w:t xml:space="preserve">Authorized by (Buyer):</w:t>
      </w:r>
    </w:p>
    <w:p>
      <w:pPr>
        <w:pStyle w:val="BodyText"/>
      </w:pPr>
      <w:r>
        <w:t xml:space="preserve">Hon. Dato' Sri Nurul Aina binti Hassan</w:t>
      </w:r>
    </w:p>
    <w:p>
      <w:pPr>
        <w:pStyle w:val="BodyText"/>
      </w:pPr>
      <w:r>
        <w:t xml:space="preserve">Chief Registrar, High Court of Malaya</w:t>
      </w:r>
    </w:p>
    <w:p>
      <w:pPr>
        <w:pStyle w:val="BodyText"/>
      </w:pPr>
      <w:r>
        <w:t xml:space="preserve">Kuala Lumpur, Malaysia</w:t>
      </w:r>
    </w:p>
    <w:p>
      <w:pPr>
        <w:pStyle w:val="BodyText"/>
      </w:pPr>
      <w:r>
        <w:t xml:space="preserve">Date: _______________</w:t>
      </w:r>
    </w:p>
    <w:p>
      <w:pPr>
        <w:pStyle w:val="BodyText"/>
      </w:pPr>
      <w:r>
        <w:rPr>
          <w:bCs/>
          <w:b/>
        </w:rPr>
        <w:t xml:space="preserve">Accepted by (Supplier):</w:t>
      </w:r>
    </w:p>
    <w:p>
      <w:pPr>
        <w:pStyle w:val="BodyText"/>
      </w:pPr>
      <w:r>
        <w:t xml:space="preserve">Mr. Tan Wei Ming</w:t>
      </w:r>
    </w:p>
    <w:p>
      <w:pPr>
        <w:pStyle w:val="BodyText"/>
      </w:pPr>
      <w:r>
        <w:t xml:space="preserve">Procurement Manager, Malaysian Judicial Furnishings Sdn. Bhd.</w:t>
      </w:r>
    </w:p>
    <w:p>
      <w:pPr>
        <w:pStyle w:val="BodyText"/>
      </w:pPr>
      <w:r>
        <w:t xml:space="preserve">Kuala Lumpur, Malaysia</w:t>
      </w:r>
    </w:p>
    <w:p>
      <w:pPr>
        <w:pStyle w:val="BodyText"/>
      </w:pPr>
      <w:r>
        <w:t xml:space="preserve">Date: _______________</w:t>
      </w:r>
    </w:p>
    <w:p>
      <w:pPr>
        <w:pStyle w:val="BodyText"/>
      </w:pPr>
      <w:r>
        <w:t xml:space="preserve">[OFFICIAL STAMP – MINISTRY OF JUSTICE OF MALAYSIA]</w:t>
      </w:r>
      <w:r>
        <w:br/>
      </w:r>
      <w:r>
        <w:t xml:space="preserve">[OFFICIAL STAMP – MALAYSIAN JUDICIAL FURNISHINGS SDN. BHD.]</w:t>
      </w:r>
    </w:p>
    <w:p>
      <w:pPr>
        <w:pStyle w:val="BodyText"/>
      </w:pPr>
      <w:r>
        <w:t xml:space="preserve">This Purchase Order (PO No: KL-JDG-2025-0047) is issued by the Ministry of Justice of Malaysia for the procurement of Judge equipment and courtroom supplies in Malaysia Kuala Lumpur. This document is valid for a period of thirty (30) days from the date of issue. Any amendments to this Purchase Order must be made in writing and signed by both parties. This document is printed on official letterhead and is a controlled document. Unauthorized reproduction is prohibited under Malaysian law.</w:t>
      </w:r>
    </w:p>
    <w:p>
      <w:pPr>
        <w:pStyle w:val="BodyText"/>
      </w:pPr>
      <w:r>
        <w:t xml:space="preserve">Document Reference: MOJ/KL/PO/2025/0047 | Classification: Official – Judicial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Equipment - Malaysia Kuala Lumpur</dc:title>
  <dc:creator/>
  <dc:language>en</dc:language>
  <cp:keywords/>
  <dcterms:created xsi:type="dcterms:W3CDTF">2026-10-10T08:06:44Z</dcterms:created>
  <dcterms:modified xsi:type="dcterms:W3CDTF">2026-10-10T08:06:44Z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