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w:t>
      </w:r>
      <w:r>
        <w:t xml:space="preserve"> </w:t>
      </w:r>
      <w:r>
        <w:t xml:space="preserve">Netherlands</w:t>
      </w:r>
      <w:r>
        <w:t xml:space="preserve"> </w:t>
      </w:r>
      <w:r>
        <w:t xml:space="preserve">Amsterdam</w:t>
      </w:r>
    </w:p>
    <w:bookmarkStart w:id="21" w:name="purchase-order"/>
    <w:p>
      <w:pPr>
        <w:pStyle w:val="Heading1"/>
      </w:pPr>
      <w:r>
        <w:t xml:space="preserve">PURCHASE ORDER</w:t>
      </w:r>
    </w:p>
    <w:bookmarkStart w:id="20" w:name="X366f5d0fb2891623d3e180acfd799b04ef5984d"/>
    <w:p>
      <w:pPr>
        <w:pStyle w:val="Heading2"/>
      </w:pPr>
      <w:r>
        <w:t xml:space="preserve">Rechtbank Amsterdam — Judicial Procurement Division</w:t>
      </w:r>
    </w:p>
    <w:p>
      <w:pPr>
        <w:pStyle w:val="FirstParagraph"/>
      </w:pPr>
      <w:r>
        <w:t xml:space="preserve">PO Reference: NL-AMS-JDG-2025-00472</w:t>
      </w:r>
    </w:p>
    <w:p>
      <w:pPr>
        <w:pStyle w:val="BodyText"/>
      </w:pPr>
      <w:r>
        <w:t xml:space="preserve">Date of Issue: 14 June 2025</w:t>
      </w:r>
    </w:p>
    <w:bookmarkEnd w:id="20"/>
    <w:bookmarkEnd w:id="21"/>
    <w:bookmarkStart w:id="22" w:name="buyer-purchasing-authority"/>
    <w:p>
      <w:pPr>
        <w:pStyle w:val="Heading3"/>
      </w:pPr>
      <w:r>
        <w:t xml:space="preserve">Buyer (Purchasing Authority)</w:t>
      </w:r>
    </w:p>
    <w:p>
      <w:pPr>
        <w:pStyle w:val="FirstParagraph"/>
      </w:pPr>
      <w:r>
        <w:rPr>
          <w:bCs/>
          <w:b/>
        </w:rPr>
        <w:t xml:space="preserve">Rechtbank Amsterdam</w:t>
      </w:r>
    </w:p>
    <w:p>
      <w:pPr>
        <w:pStyle w:val="BodyText"/>
      </w:pPr>
      <w:r>
        <w:t xml:space="preserve">Departement Civiele Afdeling</w:t>
      </w:r>
    </w:p>
    <w:p>
      <w:pPr>
        <w:pStyle w:val="BodyText"/>
      </w:pPr>
      <w:r>
        <w:t xml:space="preserve">Herengracht 465</w:t>
      </w:r>
    </w:p>
    <w:p>
      <w:pPr>
        <w:pStyle w:val="BodyText"/>
      </w:pPr>
      <w:r>
        <w:t xml:space="preserve">1017 CA Amsterdam</w:t>
      </w:r>
    </w:p>
    <w:p>
      <w:pPr>
        <w:pStyle w:val="BodyText"/>
      </w:pPr>
      <w:r>
        <w:t xml:space="preserve">Netherlands</w:t>
      </w:r>
    </w:p>
    <w:p>
      <w:pPr>
        <w:pStyle w:val="BodyText"/>
      </w:pPr>
      <w:r>
        <w:t xml:space="preserve">VAT No.: NL855678901B01</w:t>
      </w:r>
    </w:p>
    <w:p>
      <w:pPr>
        <w:pStyle w:val="BodyText"/>
      </w:pPr>
      <w:r>
        <w:t xml:space="preserve">Contact: Procurement Officer J. van der Berg</w:t>
      </w:r>
    </w:p>
    <w:p>
      <w:pPr>
        <w:pStyle w:val="BodyText"/>
      </w:pPr>
      <w:r>
        <w:t xml:space="preserve">Email: procurement@rechtbank-amsterdam.nl</w:t>
      </w:r>
    </w:p>
    <w:bookmarkEnd w:id="22"/>
    <w:bookmarkStart w:id="23" w:name="supplier-vendor"/>
    <w:p>
      <w:pPr>
        <w:pStyle w:val="Heading3"/>
      </w:pPr>
      <w:r>
        <w:t xml:space="preserve">Supplier (Vendor)</w:t>
      </w:r>
    </w:p>
    <w:p>
      <w:pPr>
        <w:pStyle w:val="FirstParagraph"/>
      </w:pPr>
      <w:r>
        <w:rPr>
          <w:bCs/>
          <w:b/>
        </w:rPr>
        <w:t xml:space="preserve">LexTech Solutions B.V.</w:t>
      </w:r>
    </w:p>
    <w:p>
      <w:pPr>
        <w:pStyle w:val="BodyText"/>
      </w:pPr>
      <w:r>
        <w:t xml:space="preserve">Industrieweg 22</w:t>
      </w:r>
    </w:p>
    <w:p>
      <w:pPr>
        <w:pStyle w:val="BodyText"/>
      </w:pPr>
      <w:r>
        <w:t xml:space="preserve">1081 AB Amsterdam</w:t>
      </w:r>
    </w:p>
    <w:p>
      <w:pPr>
        <w:pStyle w:val="BodyText"/>
      </w:pPr>
      <w:r>
        <w:t xml:space="preserve">Netherlands</w:t>
      </w:r>
    </w:p>
    <w:p>
      <w:pPr>
        <w:pStyle w:val="BodyText"/>
      </w:pPr>
      <w:r>
        <w:t xml:space="preserve">VAT No.: NL862345678B01</w:t>
      </w:r>
    </w:p>
    <w:p>
      <w:pPr>
        <w:pStyle w:val="BodyText"/>
      </w:pPr>
      <w:r>
        <w:t xml:space="preserve">Contact: Account Manager S. de Vries</w:t>
      </w:r>
    </w:p>
    <w:p>
      <w:pPr>
        <w:pStyle w:val="BodyText"/>
      </w:pPr>
      <w:r>
        <w:t xml:space="preserve">Email: sales@lextechsolutions.nl</w:t>
      </w:r>
    </w:p>
    <w:p>
      <w:pPr>
        <w:pStyle w:val="BodyText"/>
      </w:pPr>
      <w:r>
        <w:t xml:space="preserve">IBAN: NL91 ABNA 0417 1643 00</w:t>
      </w:r>
    </w:p>
    <w:bookmarkEnd w:id="23"/>
    <w:bookmarkStart w:id="24" w:name="delivery-details"/>
    <w:p>
      <w:pPr>
        <w:pStyle w:val="Heading3"/>
      </w:pPr>
      <w:r>
        <w:t xml:space="preserve">Delivery Details</w:t>
      </w:r>
    </w:p>
    <w:p>
      <w:pPr>
        <w:pStyle w:val="FirstParagraph"/>
      </w:pPr>
      <w:r>
        <w:rPr>
          <w:bCs/>
          <w:b/>
        </w:rPr>
        <w:t xml:space="preserve">Delivery Address:</w:t>
      </w:r>
    </w:p>
    <w:p>
      <w:pPr>
        <w:pStyle w:val="BodyText"/>
      </w:pPr>
      <w:r>
        <w:t xml:space="preserve">Rechtbank Amsterdam, Herengracht 465</w:t>
      </w:r>
    </w:p>
    <w:p>
      <w:pPr>
        <w:pStyle w:val="BodyText"/>
      </w:pPr>
      <w:r>
        <w:t xml:space="preserve">1017 CA Amsterdam, Netherlands</w:t>
      </w:r>
    </w:p>
    <w:p>
      <w:pPr>
        <w:pStyle w:val="BodyText"/>
      </w:pPr>
      <w:r>
        <w:rPr>
          <w:bCs/>
          <w:b/>
        </w:rPr>
        <w:t xml:space="preserve">Delivery Deadline:</w:t>
      </w:r>
      <w:r>
        <w:t xml:space="preserve"> </w:t>
      </w:r>
      <w:r>
        <w:t xml:space="preserve">30 July 2025</w:t>
      </w:r>
    </w:p>
    <w:p>
      <w:pPr>
        <w:pStyle w:val="BodyText"/>
      </w:pPr>
      <w:r>
        <w:rPr>
          <w:bCs/>
          <w:b/>
        </w:rPr>
        <w:t xml:space="preserve">Delivery Method:</w:t>
      </w:r>
      <w:r>
        <w:t xml:space="preserve"> </w:t>
      </w:r>
      <w:r>
        <w:t xml:space="preserve">Secure courier with chain-of-custody documentation</w:t>
      </w:r>
    </w:p>
    <w:bookmarkEnd w:id="24"/>
    <w:bookmarkStart w:id="25" w:name="payment-terms"/>
    <w:p>
      <w:pPr>
        <w:pStyle w:val="Heading3"/>
      </w:pPr>
      <w:r>
        <w:t xml:space="preserve">Payment Terms</w:t>
      </w:r>
    </w:p>
    <w:p>
      <w:pPr>
        <w:pStyle w:val="FirstParagraph"/>
      </w:pPr>
      <w:r>
        <w:rPr>
          <w:bCs/>
          <w:b/>
        </w:rPr>
        <w:t xml:space="preserve">Payment Due:</w:t>
      </w:r>
      <w:r>
        <w:t xml:space="preserve"> </w:t>
      </w:r>
      <w:r>
        <w:t xml:space="preserve">Net 30 days from invoice date</w:t>
      </w:r>
    </w:p>
    <w:p>
      <w:pPr>
        <w:pStyle w:val="BodyText"/>
      </w:pPr>
      <w:r>
        <w:rPr>
          <w:bCs/>
          <w:b/>
        </w:rPr>
        <w:t xml:space="preserve">Payment Method:</w:t>
      </w:r>
      <w:r>
        <w:t xml:space="preserve"> </w:t>
      </w:r>
      <w:r>
        <w:t xml:space="preserve">Bank transfer (SEPA)</w:t>
      </w:r>
    </w:p>
    <w:p>
      <w:pPr>
        <w:pStyle w:val="BodyText"/>
      </w:pPr>
      <w:r>
        <w:rPr>
          <w:bCs/>
          <w:b/>
        </w:rPr>
        <w:t xml:space="preserve">Payment Reference:</w:t>
      </w:r>
      <w:r>
        <w:t xml:space="preserve"> </w:t>
      </w:r>
      <w:r>
        <w:t xml:space="preserve">NL-AMS-JDG-2025-00472</w:t>
      </w:r>
    </w:p>
    <w:p>
      <w:pPr>
        <w:pStyle w:val="BodyText"/>
      </w:pPr>
      <w:r>
        <w:rPr>
          <w:bCs/>
          <w:b/>
        </w:rPr>
        <w:t xml:space="preserve">Currency:</w:t>
      </w:r>
      <w:r>
        <w:t xml:space="preserve"> </w:t>
      </w:r>
      <w:r>
        <w:t xml:space="preserve">Euro (EUR)</w:t>
      </w:r>
    </w:p>
    <w:bookmarkEnd w:id="25"/>
    <w:bookmarkStart w:id="26" w:name="Xf615abc7fca8a2ba102959e08cefbe40f83f624"/>
    <w:p>
      <w:pPr>
        <w:pStyle w:val="Heading2"/>
      </w:pPr>
      <w:r>
        <w:t xml:space="preserve">Itemised Purchase Order — Judge Equipment and Decision Support System</w:t>
      </w:r>
    </w:p>
    <w:p>
      <w:pPr>
        <w:pStyle w:val="FirstParagraph"/>
      </w:pPr>
      <w:r>
        <w:t xml:space="preserve">This Purchase Order is issued by the Rechtbank Amsterdam for the procurement of a comprehensive</w:t>
      </w:r>
      <w:r>
        <w:t xml:space="preserve"> </w:t>
      </w:r>
      <w:r>
        <w:t xml:space="preserve">Judge</w:t>
      </w:r>
      <w:r>
        <w:t xml:space="preserve"> </w:t>
      </w:r>
      <w:r>
        <w:t xml:space="preserve">workstation package, including the proprietary</w:t>
      </w:r>
      <w:r>
        <w:t xml:space="preserve"> </w:t>
      </w:r>
      <w:r>
        <w:t xml:space="preserve">Judge</w:t>
      </w:r>
      <w:r>
        <w:t xml:space="preserve"> </w:t>
      </w:r>
      <w:r>
        <w:t xml:space="preserve">Decision Support System (JDSS) software, associated hardware, and professional installation services. All items specified herein are intended for use by a</w:t>
      </w:r>
      <w:r>
        <w:t xml:space="preserve"> </w:t>
      </w:r>
      <w:r>
        <w:t xml:space="preserve">Judge</w:t>
      </w:r>
      <w:r>
        <w:t xml:space="preserve"> </w:t>
      </w:r>
      <w:r>
        <w:t xml:space="preserve">of the Amsterdam District Court in the performance of judicial duties within the jurisdiction of the Netherlands, specifically the Amsterdam metropolitan area. The</w:t>
      </w:r>
      <w:r>
        <w:t xml:space="preserve"> </w:t>
      </w:r>
      <w:r>
        <w:t xml:space="preserve">Judge</w:t>
      </w:r>
      <w:r>
        <w:t xml:space="preserve"> </w:t>
      </w:r>
      <w:r>
        <w:t xml:space="preserve">for whom this equipment is procured will be assigned to the Civil Division (Civiele Afdeling) and will utilise the</w:t>
      </w:r>
      <w:r>
        <w:t xml:space="preserve"> </w:t>
      </w:r>
      <w:r>
        <w:t xml:space="preserve">Judge</w:t>
      </w:r>
      <w:r>
        <w:t xml:space="preserve"> </w:t>
      </w:r>
      <w:r>
        <w:t xml:space="preserve">system for case management, legal research, and ruling documentation in accordance with Dutch procedural law (Wetboek van Burgerlijke Rechtsvordering).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SKU / Reference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Judge</w:t>
            </w:r>
            <w:r>
              <w:t xml:space="preserve"> </w:t>
            </w:r>
            <w:r>
              <w:t xml:space="preserve">Decision Support System (JDSS) v4.2 — Perpetual licence for one (1)</w:t>
            </w:r>
            <w:r>
              <w:t xml:space="preserve"> </w:t>
            </w:r>
            <w:r>
              <w:rPr>
                <w:bCs/>
                <w:b/>
              </w:rPr>
              <w:t xml:space="preserve">Judge</w:t>
            </w:r>
            <w:r>
              <w:t xml:space="preserve"> </w:t>
            </w:r>
            <w:r>
              <w:t xml:space="preserve">user. Includes full Dutch legal database integration, case-law search module, automated ruling template generator, and secure document management. Licensed for use exclusively by a</w:t>
            </w:r>
            <w:r>
              <w:t xml:space="preserve"> </w:t>
            </w:r>
            <w:r>
              <w:rPr>
                <w:bCs/>
                <w:b/>
              </w:rPr>
              <w:t xml:space="preserve">Judge</w:t>
            </w:r>
            <w:r>
              <w:t xml:space="preserve"> </w:t>
            </w:r>
            <w:r>
              <w:t xml:space="preserve">at the Rechtbank Amsterdam, Netherlands.</w:t>
            </w:r>
          </w:p>
        </w:tc>
        <w:tc>
          <w:tcPr/>
          <w:p>
            <w:pPr>
              <w:pStyle w:val="Compact"/>
              <w:jc w:val="left"/>
            </w:pPr>
            <w:r>
              <w:t xml:space="preserve">JDSS-4.2-NL-AMS</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2</w:t>
            </w:r>
          </w:p>
        </w:tc>
        <w:tc>
          <w:tcPr/>
          <w:p>
            <w:pPr>
              <w:pStyle w:val="Compact"/>
              <w:jc w:val="left"/>
            </w:pPr>
            <w:r>
              <w:rPr>
                <w:bCs/>
                <w:b/>
              </w:rPr>
              <w:t xml:space="preserve">Judge</w:t>
            </w:r>
            <w:r>
              <w:t xml:space="preserve"> </w:t>
            </w:r>
            <w:r>
              <w:t xml:space="preserve">Workstation Hardware — High-security desktop computer (Intel i9, 64GB RAM, 2TB NVMe SSD, TPM 2.0 chip, biometric authentication module) configured specifically for</w:t>
            </w:r>
            <w:r>
              <w:t xml:space="preserve"> </w:t>
            </w:r>
            <w:r>
              <w:rPr>
                <w:bCs/>
                <w:b/>
              </w:rPr>
              <w:t xml:space="preserve">Judge</w:t>
            </w:r>
            <w:r>
              <w:t xml:space="preserve"> </w:t>
            </w:r>
            <w:r>
              <w:t xml:space="preserve">use. Pre-installed with encrypted operating system and Dutch government security protocols (BSI/NEN 7510 compliant).</w:t>
            </w:r>
          </w:p>
        </w:tc>
        <w:tc>
          <w:tcPr/>
          <w:p>
            <w:pPr>
              <w:pStyle w:val="Compact"/>
              <w:jc w:val="left"/>
            </w:pPr>
            <w:r>
              <w:t xml:space="preserve">HW-JDG-WS-2025</w:t>
            </w:r>
          </w:p>
        </w:tc>
        <w:tc>
          <w:tcPr/>
          <w:p>
            <w:pPr>
              <w:pStyle w:val="Compact"/>
              <w:jc w:val="left"/>
            </w:pPr>
            <w:r>
              <w:t xml:space="preserve">1</w:t>
            </w:r>
          </w:p>
        </w:tc>
        <w:tc>
          <w:tcPr/>
          <w:p>
            <w:pPr>
              <w:pStyle w:val="Compact"/>
              <w:jc w:val="left"/>
            </w:pPr>
            <w:r>
              <w:t xml:space="preserve">4,890.00</w:t>
            </w:r>
          </w:p>
        </w:tc>
        <w:tc>
          <w:tcPr/>
          <w:p>
            <w:pPr>
              <w:pStyle w:val="Compact"/>
              <w:jc w:val="left"/>
            </w:pPr>
            <w:r>
              <w:t xml:space="preserve">4,890.00</w:t>
            </w:r>
          </w:p>
        </w:tc>
      </w:tr>
      <w:tr>
        <w:tc>
          <w:tcPr/>
          <w:p>
            <w:pPr>
              <w:pStyle w:val="Compact"/>
              <w:jc w:val="left"/>
            </w:pPr>
            <w:r>
              <w:t xml:space="preserve">3</w:t>
            </w:r>
          </w:p>
        </w:tc>
        <w:tc>
          <w:tcPr/>
          <w:p>
            <w:pPr>
              <w:pStyle w:val="Compact"/>
              <w:jc w:val="left"/>
            </w:pPr>
            <w:r>
              <w:rPr>
                <w:bCs/>
                <w:b/>
              </w:rPr>
              <w:t xml:space="preserve">Judge</w:t>
            </w:r>
            <w:r>
              <w:t xml:space="preserve"> </w:t>
            </w:r>
            <w:r>
              <w:t xml:space="preserve">Dual 27-inch 4K Monitors — Anti-glare, colour-calibrated displays for simultaneous viewing of case files and legal references. Designed for extended</w:t>
            </w:r>
            <w:r>
              <w:t xml:space="preserve"> </w:t>
            </w:r>
            <w:r>
              <w:rPr>
                <w:bCs/>
                <w:b/>
              </w:rPr>
              <w:t xml:space="preserve">Judge</w:t>
            </w:r>
            <w:r>
              <w:t xml:space="preserve"> </w:t>
            </w:r>
            <w:r>
              <w:t xml:space="preserve">working sessions in the Amsterdam courtroom environment.</w:t>
            </w:r>
          </w:p>
        </w:tc>
        <w:tc>
          <w:tcPr/>
          <w:p>
            <w:pPr>
              <w:pStyle w:val="Compact"/>
              <w:jc w:val="left"/>
            </w:pPr>
            <w:r>
              <w:t xml:space="preserve">MON-27-4K-JDG</w:t>
            </w:r>
          </w:p>
        </w:tc>
        <w:tc>
          <w:tcPr/>
          <w:p>
            <w:pPr>
              <w:pStyle w:val="Compact"/>
              <w:jc w:val="left"/>
            </w:pPr>
            <w:r>
              <w:t xml:space="preserve">2</w:t>
            </w:r>
          </w:p>
        </w:tc>
        <w:tc>
          <w:tcPr/>
          <w:p>
            <w:pPr>
              <w:pStyle w:val="Compact"/>
              <w:jc w:val="left"/>
            </w:pPr>
            <w:r>
              <w:t xml:space="preserve">785.00</w:t>
            </w:r>
          </w:p>
        </w:tc>
        <w:tc>
          <w:tcPr/>
          <w:p>
            <w:pPr>
              <w:pStyle w:val="Compact"/>
              <w:jc w:val="left"/>
            </w:pPr>
            <w:r>
              <w:t xml:space="preserve">1,570.00</w:t>
            </w:r>
          </w:p>
        </w:tc>
      </w:tr>
      <w:tr>
        <w:tc>
          <w:tcPr/>
          <w:p>
            <w:pPr>
              <w:pStyle w:val="Compact"/>
              <w:jc w:val="left"/>
            </w:pPr>
            <w:r>
              <w:t xml:space="preserve">4</w:t>
            </w:r>
          </w:p>
        </w:tc>
        <w:tc>
          <w:tcPr/>
          <w:p>
            <w:pPr>
              <w:pStyle w:val="Compact"/>
              <w:jc w:val="left"/>
            </w:pPr>
            <w:r>
              <w:rPr>
                <w:bCs/>
                <w:b/>
              </w:rPr>
              <w:t xml:space="preserve">Judge</w:t>
            </w:r>
            <w:r>
              <w:t xml:space="preserve"> </w:t>
            </w:r>
            <w:r>
              <w:t xml:space="preserve">Ergonomic Chair and Standing Desk — Fully adjustable, height-configurable desk (140cm x 80cm) with integrated cable management and a premium ergonomic chair meeting Dutch workplace safety standards (Arbowet). Specially sized for the</w:t>
            </w:r>
            <w:r>
              <w:t xml:space="preserve"> </w:t>
            </w:r>
            <w:r>
              <w:rPr>
                <w:bCs/>
                <w:b/>
              </w:rPr>
              <w:t xml:space="preserve">Judge</w:t>
            </w:r>
            <w:r>
              <w:t xml:space="preserve"> </w:t>
            </w:r>
            <w:r>
              <w:t xml:space="preserve">chamber at Herengracht 465, Amsterdam.</w:t>
            </w:r>
          </w:p>
        </w:tc>
        <w:tc>
          <w:tcPr/>
          <w:p>
            <w:pPr>
              <w:pStyle w:val="Compact"/>
              <w:jc w:val="left"/>
            </w:pPr>
            <w:r>
              <w:t xml:space="preserve">FUR-JDG-SET-AMS</w:t>
            </w:r>
          </w:p>
        </w:tc>
        <w:tc>
          <w:tcPr/>
          <w:p>
            <w:pPr>
              <w:pStyle w:val="Compact"/>
              <w:jc w:val="left"/>
            </w:pPr>
            <w:r>
              <w:t xml:space="preserve">1</w:t>
            </w:r>
          </w:p>
        </w:tc>
        <w:tc>
          <w:tcPr/>
          <w:p>
            <w:pPr>
              <w:pStyle w:val="Compact"/>
              <w:jc w:val="left"/>
            </w:pPr>
            <w:r>
              <w:t xml:space="preserve">3,240.00</w:t>
            </w:r>
          </w:p>
        </w:tc>
        <w:tc>
          <w:tcPr/>
          <w:p>
            <w:pPr>
              <w:pStyle w:val="Compact"/>
              <w:jc w:val="left"/>
            </w:pPr>
            <w:r>
              <w:t xml:space="preserve">3,240.00</w:t>
            </w:r>
          </w:p>
        </w:tc>
      </w:tr>
      <w:tr>
        <w:tc>
          <w:tcPr/>
          <w:p>
            <w:pPr>
              <w:pStyle w:val="Compact"/>
              <w:jc w:val="left"/>
            </w:pPr>
            <w:r>
              <w:t xml:space="preserve">5</w:t>
            </w:r>
          </w:p>
        </w:tc>
        <w:tc>
          <w:tcPr/>
          <w:p>
            <w:pPr>
              <w:pStyle w:val="Compact"/>
              <w:jc w:val="left"/>
            </w:pPr>
            <w:r>
              <w:rPr>
                <w:bCs/>
                <w:b/>
              </w:rPr>
              <w:t xml:space="preserve">Judge</w:t>
            </w:r>
            <w:r>
              <w:t xml:space="preserve"> </w:t>
            </w:r>
            <w:r>
              <w:t xml:space="preserve">Secure Communication Module — Encrypted VoIP telephone system with Dutch government-grade encryption (AES-256), integrated with the Rechtbank Amsterdam internal network. Enables secure</w:t>
            </w:r>
            <w:r>
              <w:t xml:space="preserve"> </w:t>
            </w:r>
            <w:r>
              <w:rPr>
                <w:bCs/>
                <w:b/>
              </w:rPr>
              <w:t xml:space="preserve">Judge</w:t>
            </w:r>
            <w:r>
              <w:t xml:space="preserve">-to-clerk and</w:t>
            </w:r>
            <w:r>
              <w:t xml:space="preserve"> </w:t>
            </w:r>
            <w:r>
              <w:rPr>
                <w:bCs/>
                <w:b/>
              </w:rPr>
              <w:t xml:space="preserve">Judge</w:t>
            </w:r>
            <w:r>
              <w:t xml:space="preserve">-to-party communications in compliance with Dutch data protection regulations (AVG/GDPR).</w:t>
            </w:r>
          </w:p>
        </w:tc>
        <w:tc>
          <w:tcPr/>
          <w:p>
            <w:pPr>
              <w:pStyle w:val="Compact"/>
              <w:jc w:val="left"/>
            </w:pPr>
            <w:r>
              <w:t xml:space="preserve">COM-JDG-SEC-01</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6</w:t>
            </w:r>
          </w:p>
        </w:tc>
        <w:tc>
          <w:tcPr/>
          <w:p>
            <w:pPr>
              <w:pStyle w:val="Compact"/>
              <w:jc w:val="left"/>
            </w:pPr>
            <w:r>
              <w:rPr>
                <w:bCs/>
                <w:b/>
              </w:rPr>
              <w:t xml:space="preserve">Judge</w:t>
            </w:r>
            <w:r>
              <w:t xml:space="preserve"> </w:t>
            </w:r>
            <w:r>
              <w:t xml:space="preserve">Gavel and Courtroom Accessories Set — Traditional walnut gavel with leather sound block, brass nameplate engraved with the</w:t>
            </w:r>
            <w:r>
              <w:t xml:space="preserve"> </w:t>
            </w:r>
            <w:r>
              <w:rPr>
                <w:bCs/>
                <w:b/>
              </w:rPr>
              <w:t xml:space="preserve">Judge</w:t>
            </w:r>
            <w:r>
              <w:t xml:space="preserve">'s title and the coat of arms of the Netherlands, document tray, and pen set. Manufactured in the Netherlands to traditional craftsmanship standards.</w:t>
            </w:r>
          </w:p>
        </w:tc>
        <w:tc>
          <w:tcPr/>
          <w:p>
            <w:pPr>
              <w:pStyle w:val="Compact"/>
              <w:jc w:val="left"/>
            </w:pPr>
            <w:r>
              <w:t xml:space="preserve">ACC-JDG-GVL-NL</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7</w:t>
            </w:r>
          </w:p>
        </w:tc>
        <w:tc>
          <w:tcPr/>
          <w:p>
            <w:pPr>
              <w:pStyle w:val="Compact"/>
              <w:jc w:val="left"/>
            </w:pPr>
            <w:r>
              <w:t xml:space="preserve">Professional Installation and Configuration Service — On-site installation at the Rechtbank Amsterdam, Herengracht 465, Amsterdam, Netherlands. Includes network integration,</w:t>
            </w:r>
            <w:r>
              <w:t xml:space="preserve"> </w:t>
            </w:r>
            <w:r>
              <w:rPr>
                <w:bCs/>
                <w:b/>
              </w:rPr>
              <w:t xml:space="preserve">Judge</w:t>
            </w:r>
            <w:r>
              <w:t xml:space="preserve"> </w:t>
            </w:r>
            <w:r>
              <w:t xml:space="preserve">system configuration, user training for the assigned</w:t>
            </w:r>
            <w:r>
              <w:t xml:space="preserve"> </w:t>
            </w:r>
            <w:r>
              <w:rPr>
                <w:bCs/>
                <w:b/>
              </w:rPr>
              <w:t xml:space="preserve">Judge</w:t>
            </w:r>
            <w:r>
              <w:t xml:space="preserve"> </w:t>
            </w:r>
            <w:r>
              <w:t xml:space="preserve">and two court clerks, and a 12-month warranty support package. Service to be performed by certified technicians familiar with Dutch judicial IT infrastructure.</w:t>
            </w:r>
          </w:p>
        </w:tc>
        <w:tc>
          <w:tcPr/>
          <w:p>
            <w:pPr>
              <w:pStyle w:val="Compact"/>
              <w:jc w:val="left"/>
            </w:pPr>
            <w:r>
              <w:t xml:space="preserve">SVC-INST-JDG-AMS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Annual</w:t>
            </w:r>
            <w:r>
              <w:t xml:space="preserve"> </w:t>
            </w:r>
            <w:r>
              <w:rPr>
                <w:bCs/>
                <w:b/>
              </w:rPr>
              <w:t xml:space="preserve">Judge</w:t>
            </w:r>
            <w:r>
              <w:t xml:space="preserve"> </w:t>
            </w:r>
            <w:r>
              <w:t xml:space="preserve">System Maintenance and Legal Database Update Subscription — 12-month subscription covering all software updates, Dutch legislation database refreshes (including new Amsterdam municipal regulations), priority technical support, and quarterly on-site health checks at the Amsterdam court premises.</w:t>
            </w:r>
          </w:p>
        </w:tc>
        <w:tc>
          <w:tcPr/>
          <w:p>
            <w:pPr>
              <w:pStyle w:val="Compact"/>
              <w:jc w:val="left"/>
            </w:pPr>
            <w:r>
              <w:t xml:space="preserve">SUB-JDG-MAINT-12M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 (excl. VAT):</w:t>
            </w:r>
          </w:p>
        </w:tc>
        <w:tc>
          <w:tcPr/>
          <w:p>
            <w:pPr>
              <w:pStyle w:val="Compact"/>
              <w:jc w:val="left"/>
            </w:pPr>
            <w:r>
              <w:t xml:space="preserve">32,980.00</w:t>
            </w:r>
          </w:p>
        </w:tc>
      </w:tr>
      <w:tr>
        <w:tc>
          <w:tcPr>
            <w:gridSpan w:val="5"/>
          </w:tcPr>
          <w:p>
            <w:pPr>
              <w:pStyle w:val="Compact"/>
              <w:jc w:val="right"/>
            </w:pPr>
            <w:r>
              <w:t xml:space="preserve">VAT (21% — Netherlands):</w:t>
            </w:r>
          </w:p>
        </w:tc>
        <w:tc>
          <w:tcPr/>
          <w:p>
            <w:pPr>
              <w:pStyle w:val="Compact"/>
              <w:jc w:val="left"/>
            </w:pPr>
            <w:r>
              <w:t xml:space="preserve">6,925.80</w:t>
            </w:r>
          </w:p>
        </w:tc>
      </w:tr>
      <w:tr>
        <w:tc>
          <w:tcPr>
            <w:gridSpan w:val="5"/>
          </w:tcPr>
          <w:p>
            <w:pPr>
              <w:pStyle w:val="Compact"/>
              <w:jc w:val="right"/>
            </w:pPr>
            <w:r>
              <w:t xml:space="preserve">TOTAL AMOUNT DUE (EUR):</w:t>
            </w:r>
          </w:p>
        </w:tc>
        <w:tc>
          <w:tcPr/>
          <w:p>
            <w:pPr>
              <w:pStyle w:val="Compact"/>
              <w:jc w:val="left"/>
            </w:pPr>
            <w:r>
              <w:t xml:space="preserve">39,905.80</w:t>
            </w:r>
          </w:p>
        </w:tc>
      </w:tr>
    </w:tbl>
    <w:p>
      <w:pPr>
        <w:pStyle w:val="BodyText"/>
      </w:pPr>
      <w:r>
        <w:t xml:space="preserve">All prices are quoted in Euro (EUR). VAT is applied at the standard Dutch rate of 21% as per the Wet op de omzetbelasting 1968. This Purchase Order is subject to the public procurement regulations of the Netherlands (Aanbestedingswet 2012) and the internal procurement policies of the Rechtbank Amsterdam.</w:t>
      </w:r>
    </w:p>
    <w:bookmarkEnd w:id="26"/>
    <w:bookmarkStart w:id="27" w:name="terms-and-conditions"/>
    <w:p>
      <w:pPr>
        <w:pStyle w:val="Heading2"/>
      </w:pPr>
      <w:r>
        <w:t xml:space="preserve">Terms and Conditions</w:t>
      </w:r>
    </w:p>
    <w:p>
      <w:pPr>
        <w:numPr>
          <w:ilvl w:val="0"/>
          <w:numId w:val="1001"/>
        </w:numPr>
        <w:pStyle w:val="Compact"/>
      </w:pPr>
      <w:r>
        <w:rPr>
          <w:bCs/>
          <w:b/>
        </w:rPr>
        <w:t xml:space="preserve">Scope of Supply:</w:t>
      </w:r>
      <w:r>
        <w:t xml:space="preserve"> </w:t>
      </w:r>
      <w:r>
        <w:t xml:space="preserve">The Supplier shall deliver all items listed in this Purchase Order specifically configured for use by a</w:t>
      </w:r>
      <w:r>
        <w:t xml:space="preserve"> </w:t>
      </w:r>
      <w:r>
        <w:rPr>
          <w:bCs/>
          <w:b/>
        </w:rPr>
        <w:t xml:space="preserve">Judge</w:t>
      </w:r>
      <w:r>
        <w:t xml:space="preserve"> </w:t>
      </w:r>
      <w:r>
        <w:t xml:space="preserve">of the Rechtbank Amsterdam. All hardware and software must be fully operational and compliant with Dutch judicial standards upon delivery to the Amsterdam premises.</w:t>
      </w:r>
    </w:p>
    <w:p>
      <w:pPr>
        <w:numPr>
          <w:ilvl w:val="0"/>
          <w:numId w:val="1001"/>
        </w:numPr>
        <w:pStyle w:val="Compact"/>
      </w:pPr>
      <w:r>
        <w:rPr>
          <w:bCs/>
          <w:b/>
        </w:rPr>
        <w:t xml:space="preserve">Delivery and Acceptance:</w:t>
      </w:r>
      <w:r>
        <w:t xml:space="preserve"> </w:t>
      </w:r>
      <w:r>
        <w:t xml:space="preserve">Delivery shall be made to the Rechtbank Amsterdam at Herengracht 465, 1017 CA Amsterdam, Netherlands, no later than 30 July 2025. Acceptance shall be confirmed in writing by the designated</w:t>
      </w:r>
      <w:r>
        <w:t xml:space="preserve"> </w:t>
      </w:r>
      <w:r>
        <w:rPr>
          <w:bCs/>
          <w:b/>
        </w:rPr>
        <w:t xml:space="preserve">Judge</w:t>
      </w:r>
      <w:r>
        <w:t xml:space="preserve"> </w:t>
      </w:r>
      <w:r>
        <w:t xml:space="preserve">or the Procurement Officer within five (5) business days of delivery. Any defects or non-conformities must be reported within this period.</w:t>
      </w:r>
    </w:p>
    <w:p>
      <w:pPr>
        <w:numPr>
          <w:ilvl w:val="0"/>
          <w:numId w:val="1001"/>
        </w:numPr>
        <w:pStyle w:val="Compact"/>
      </w:pPr>
      <w:r>
        <w:rPr>
          <w:bCs/>
          <w:b/>
        </w:rPr>
        <w:t xml:space="preserve">Warranty:</w:t>
      </w:r>
      <w:r>
        <w:t xml:space="preserve"> </w:t>
      </w:r>
      <w:r>
        <w:t xml:space="preserve">All hardware items carry a minimum two-year manufacturer's warranty. The</w:t>
      </w:r>
      <w:r>
        <w:t xml:space="preserve"> </w:t>
      </w:r>
      <w:r>
        <w:rPr>
          <w:bCs/>
          <w:b/>
        </w:rPr>
        <w:t xml:space="preserve">Judge</w:t>
      </w:r>
      <w:r>
        <w:t xml:space="preserve"> </w:t>
      </w:r>
      <w:r>
        <w:t xml:space="preserve">Decision Support System software carries a twelve-month defect liability period. The Supplier shall replace or repair any defective</w:t>
      </w:r>
      <w:r>
        <w:t xml:space="preserve"> </w:t>
      </w:r>
      <w:r>
        <w:rPr>
          <w:bCs/>
          <w:b/>
        </w:rPr>
        <w:t xml:space="preserve">Judge</w:t>
      </w:r>
      <w:r>
        <w:t xml:space="preserve"> </w:t>
      </w:r>
      <w:r>
        <w:t xml:space="preserve">system component at no additional cost to the Rechtbank Amsterdam.</w:t>
      </w:r>
    </w:p>
    <w:p>
      <w:pPr>
        <w:numPr>
          <w:ilvl w:val="0"/>
          <w:numId w:val="1001"/>
        </w:numPr>
        <w:pStyle w:val="Compact"/>
      </w:pPr>
      <w:r>
        <w:rPr>
          <w:bCs/>
          <w:b/>
        </w:rPr>
        <w:t xml:space="preserve">Confidentiality and Data Protection:</w:t>
      </w:r>
      <w:r>
        <w:t xml:space="preserve"> </w:t>
      </w:r>
      <w:r>
        <w:t xml:space="preserve">The Supplier acknowledges that the</w:t>
      </w:r>
      <w:r>
        <w:t xml:space="preserve"> </w:t>
      </w:r>
      <w:r>
        <w:rPr>
          <w:bCs/>
          <w:b/>
        </w:rPr>
        <w:t xml:space="preserve">Judge</w:t>
      </w:r>
      <w:r>
        <w:t xml:space="preserve"> </w:t>
      </w:r>
      <w:r>
        <w:t xml:space="preserve">system will process sensitive judicial data. All data handling must comply with the Dutch General Data Protection Regulation (AVG), the GDPR, and the specific confidentiality obligations of the Dutch judiciary (Wet op de rechterlijke organisatie). No data shall be stored or processed outside the Netherlands.</w:t>
      </w:r>
    </w:p>
    <w:p>
      <w:pPr>
        <w:numPr>
          <w:ilvl w:val="0"/>
          <w:numId w:val="1001"/>
        </w:numPr>
        <w:pStyle w:val="Compact"/>
      </w:pPr>
      <w:r>
        <w:rPr>
          <w:bCs/>
          <w:b/>
        </w:rPr>
        <w:t xml:space="preserve">Intellectual Property:</w:t>
      </w:r>
      <w:r>
        <w:t xml:space="preserve"> </w:t>
      </w:r>
      <w:r>
        <w:t xml:space="preserve">The</w:t>
      </w:r>
      <w:r>
        <w:t xml:space="preserve"> </w:t>
      </w:r>
      <w:r>
        <w:rPr>
          <w:bCs/>
          <w:b/>
        </w:rPr>
        <w:t xml:space="preserve">Judge</w:t>
      </w:r>
      <w:r>
        <w:t xml:space="preserve"> </w:t>
      </w:r>
      <w:r>
        <w:t xml:space="preserve">Decision Support System licence is granted exclusively to the named</w:t>
      </w:r>
      <w:r>
        <w:t xml:space="preserve"> </w:t>
      </w:r>
      <w:r>
        <w:rPr>
          <w:bCs/>
          <w:b/>
        </w:rPr>
        <w:t xml:space="preserve">Judge</w:t>
      </w:r>
      <w:r>
        <w:t xml:space="preserve"> </w:t>
      </w:r>
      <w:r>
        <w:t xml:space="preserve">at the Rechtbank Amsterdam. The licence is non-transferable and non-revocable for the duration of the</w:t>
      </w:r>
      <w:r>
        <w:t xml:space="preserve"> </w:t>
      </w:r>
      <w:r>
        <w:rPr>
          <w:bCs/>
          <w:b/>
        </w:rPr>
        <w:t xml:space="preserve">Judge</w:t>
      </w:r>
      <w:r>
        <w:t xml:space="preserve">'s appointment. All intellectual property rights in the software remain with the Supplier.</w:t>
      </w:r>
    </w:p>
    <w:p>
      <w:pPr>
        <w:numPr>
          <w:ilvl w:val="0"/>
          <w:numId w:val="1001"/>
        </w:numPr>
        <w:pStyle w:val="Compact"/>
      </w:pPr>
      <w:r>
        <w:rPr>
          <w:bCs/>
          <w:b/>
        </w:rPr>
        <w:t xml:space="preserve">Payment:</w:t>
      </w:r>
      <w:r>
        <w:t xml:space="preserve"> </w:t>
      </w:r>
      <w:r>
        <w:t xml:space="preserve">Payment of the total amount of EUR 39,905.80 shall be made within thirty (30) days of receipt of a valid invoice, by SEPA bank transfer to the Supplier's account as specified above. Late payments shall accrue interest at the statutory Dutch rate (wettelijke rente) as defined in Article 6:119a of the Dutch Civil Code (Burgerlijk Wetboek).</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Netherlands. Any disputes arising from or in connection with this Purchase Order shall be subject to the exclusive jurisdiction of the Rechtbank Amsterdam, located in Amsterdam, Netherlands.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government-imposed restrictions, or acts of war, provided that the affected party notifies the other within forty-eight (48) hours.</w:t>
      </w:r>
    </w:p>
    <w:p>
      <w:pPr>
        <w:numPr>
          <w:ilvl w:val="0"/>
          <w:numId w:val="1001"/>
        </w:numPr>
        <w:pStyle w:val="Compact"/>
      </w:pPr>
      <w:r>
        <w:rPr>
          <w:bCs/>
          <w:b/>
        </w:rPr>
        <w:t xml:space="preserve">Amendments:</w:t>
      </w:r>
      <w:r>
        <w:t xml:space="preserve"> </w:t>
      </w:r>
      <w:r>
        <w:t xml:space="preserve">Any amendments to this Purchase Order must be made in writing and signed by both parties. Verbal agreements or modifications are not binding. All changes to the</w:t>
      </w:r>
      <w:r>
        <w:t xml:space="preserve"> </w:t>
      </w:r>
      <w:r>
        <w:rPr>
          <w:bCs/>
          <w:b/>
        </w:rPr>
        <w:t xml:space="preserve">Judge</w:t>
      </w:r>
      <w:r>
        <w:t xml:space="preserve"> </w:t>
      </w:r>
      <w:r>
        <w:t xml:space="preserve">system configuration or scope of delivery must be approved in advance by the Procurement Officer of the Rechtbank Amsterdam.</w:t>
      </w:r>
    </w:p>
    <w:p>
      <w:pPr>
        <w:numPr>
          <w:ilvl w:val="0"/>
          <w:numId w:val="1001"/>
        </w:numPr>
        <w:pStyle w:val="Compact"/>
      </w:pPr>
      <w:r>
        <w:rPr>
          <w:bCs/>
          <w:b/>
        </w:rPr>
        <w:t xml:space="preserve">Termination:</w:t>
      </w:r>
      <w:r>
        <w:t xml:space="preserve"> </w:t>
      </w:r>
      <w:r>
        <w:t xml:space="preserve">Either party may terminate this Purchase Order in the event of material breach by the other party, provided that the breaching party fails to remedy the breach within fifteen (15) business days of written notice. Upon termination, the Supplier shall refund any pre-paid amounts for undelivered</w:t>
      </w:r>
      <w:r>
        <w:t xml:space="preserve"> </w:t>
      </w:r>
      <w:r>
        <w:rPr>
          <w:bCs/>
          <w:b/>
        </w:rPr>
        <w:t xml:space="preserve">Judge</w:t>
      </w:r>
      <w:r>
        <w:t xml:space="preserve"> </w:t>
      </w:r>
      <w:r>
        <w:t xml:space="preserve">system components.</w:t>
      </w:r>
    </w:p>
    <w:bookmarkEnd w:id="27"/>
    <w:bookmarkStart w:id="28" w:name="authorisation-and-signatures"/>
    <w:p>
      <w:pPr>
        <w:pStyle w:val="Heading2"/>
      </w:pPr>
      <w:r>
        <w:t xml:space="preserve">Authorisation and Signatures</w:t>
      </w:r>
    </w:p>
    <w:p>
      <w:pPr>
        <w:pStyle w:val="FirstParagraph"/>
      </w:pPr>
      <w:r>
        <w:t xml:space="preserve">This Purchase Order is authorised and issued on behalf of the Rechtbank Amsterdam, Netherlands, for the procurement of the</w:t>
      </w:r>
      <w:r>
        <w:t xml:space="preserve"> </w:t>
      </w:r>
      <w:r>
        <w:rPr>
          <w:bCs/>
          <w:b/>
        </w:rPr>
        <w:t xml:space="preserve">Judge</w:t>
      </w:r>
      <w:r>
        <w:t xml:space="preserve"> </w:t>
      </w:r>
      <w:r>
        <w:t xml:space="preserve">workstation package and associated services as described herein. The Supplier confirms acceptance of all terms and conditions set forth in this document and commits to delivering the</w:t>
      </w:r>
      <w:r>
        <w:t xml:space="preserve"> </w:t>
      </w:r>
      <w:r>
        <w:rPr>
          <w:bCs/>
          <w:b/>
        </w:rPr>
        <w:t xml:space="preserve">Judge</w:t>
      </w:r>
      <w:r>
        <w:t xml:space="preserve"> </w:t>
      </w:r>
      <w:r>
        <w:t xml:space="preserve">system and all related items in full compliance with the specifications and timeline outlined above.</w:t>
      </w:r>
    </w:p>
    <w:p>
      <w:pPr>
        <w:pStyle w:val="BodyText"/>
      </w:pPr>
      <w:r>
        <w:rPr>
          <w:bCs/>
          <w:b/>
        </w:rPr>
        <w:t xml:space="preserve">For and on behalf of the Buyer:</w:t>
      </w:r>
    </w:p>
    <w:p>
      <w:pPr>
        <w:pStyle w:val="BodyText"/>
      </w:pPr>
      <w:r>
        <w:t xml:space="preserve">Rechtbank Amsterdam, Netherlands</w:t>
      </w:r>
    </w:p>
    <w:p>
      <w:pPr>
        <w:pStyle w:val="BodyText"/>
      </w:pPr>
      <w:r>
        <w:rPr>
          <w:bCs/>
          <w:b/>
        </w:rPr>
        <w:t xml:space="preserve">Name:</w:t>
      </w:r>
      <w:r>
        <w:t xml:space="preserve"> </w:t>
      </w:r>
      <w:r>
        <w:t xml:space="preserve">J. van der Berg</w:t>
      </w:r>
    </w:p>
    <w:p>
      <w:pPr>
        <w:pStyle w:val="BodyText"/>
      </w:pPr>
      <w:r>
        <w:rPr>
          <w:bCs/>
          <w:b/>
        </w:rPr>
        <w:t xml:space="preserve">Title:</w:t>
      </w:r>
      <w:r>
        <w:t xml:space="preserve"> </w:t>
      </w:r>
      <w:r>
        <w:t xml:space="preserve">Procurement Officer, Judicial Procurement Division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LexTech Solutions B.V., Amsterdam, Netherlands</w:t>
      </w:r>
    </w:p>
    <w:p>
      <w:pPr>
        <w:pStyle w:val="BodyText"/>
      </w:pPr>
      <w:r>
        <w:rPr>
          <w:bCs/>
          <w:b/>
        </w:rPr>
        <w:t xml:space="preserve">Name:</w:t>
      </w:r>
      <w:r>
        <w:t xml:space="preserve"> </w:t>
      </w:r>
      <w:r>
        <w:t xml:space="preserve">S. de Vries</w:t>
      </w:r>
    </w:p>
    <w:p>
      <w:pPr>
        <w:pStyle w:val="BodyText"/>
      </w:pPr>
      <w:r>
        <w:rPr>
          <w:bCs/>
          <w:b/>
        </w:rPr>
        <w:t xml:space="preserve">Title:</w:t>
      </w:r>
      <w:r>
        <w:t xml:space="preserve"> </w:t>
      </w:r>
      <w:r>
        <w:t xml:space="preserve">Account Manager, Public Sector Division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Purchase Order NL-AMS-JDG-2025-00472 — Rechtbank Amsterdam, Herengracht 465, 1017 CA Amsterdam, Netherlands</w:t>
      </w:r>
    </w:p>
    <w:p>
      <w:pPr>
        <w:pStyle w:val="BodyText"/>
      </w:pPr>
      <w:r>
        <w:t xml:space="preserve">This document is an official procurement record of the Dutch judiciary. Unauthorised reproduction or distribution is prohibited under Dutch law.</w:t>
      </w:r>
    </w:p>
    <w:p>
      <w:pPr>
        <w:pStyle w:val="BodyText"/>
      </w:pPr>
      <w:r>
        <w:t xml:space="preserve">Page 1 of 1 — Generated: 14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 Netherlands Amsterdam</dc:title>
  <dc:creator/>
  <dc:language>en</dc:language>
  <cp:keywords/>
  <dcterms:created xsi:type="dcterms:W3CDTF">2026-10-10T07:31:34Z</dcterms:created>
  <dcterms:modified xsi:type="dcterms:W3CDTF">2026-10-10T07:31:34Z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