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Doha,</w:t>
      </w:r>
      <w:r>
        <w:t xml:space="preserve"> </w:t>
      </w:r>
      <w:r>
        <w:t xml:space="preserve">Qatar</w:t>
      </w:r>
    </w:p>
    <w:bookmarkStart w:id="20" w:name="purchase-order"/>
    <w:p>
      <w:pPr>
        <w:pStyle w:val="Heading1"/>
      </w:pPr>
      <w:r>
        <w:t xml:space="preserve">PURCHASE ORDER</w:t>
      </w:r>
    </w:p>
    <w:p>
      <w:pPr>
        <w:pStyle w:val="FirstParagraph"/>
      </w:pPr>
      <w:r>
        <w:t xml:space="preserve">Supreme Court of Qatar — Judicial Procurement Division</w:t>
      </w:r>
    </w:p>
    <w:p>
      <w:pPr>
        <w:pStyle w:val="BodyText"/>
      </w:pPr>
      <w:r>
        <w:t xml:space="preserve">Doha, State of Qatar</w:t>
      </w:r>
    </w:p>
    <w:p>
      <w:pPr>
        <w:pStyle w:val="BodyText"/>
      </w:pPr>
      <w:r>
        <w:t xml:space="preserve">PO No.: QTR-JDG-2025-04871</w:t>
      </w:r>
      <w:r>
        <w:t xml:space="preserve"> </w:t>
      </w:r>
      <w:r>
        <w:t xml:space="preserve">OFFICIAL</w:t>
      </w:r>
    </w:p>
    <w:bookmarkEnd w:id="20"/>
    <w:bookmarkStart w:id="21" w:name="buyer-issuing-authority"/>
    <w:p>
      <w:pPr>
        <w:pStyle w:val="Heading3"/>
      </w:pPr>
      <w:r>
        <w:t xml:space="preserve">Buyer (Issuing Authority)</w:t>
      </w:r>
    </w:p>
    <w:p>
      <w:pPr>
        <w:pStyle w:val="FirstParagraph"/>
      </w:pPr>
      <w:r>
        <w:rPr>
          <w:bCs/>
          <w:b/>
        </w:rPr>
        <w:t xml:space="preserve">Supreme Court of Qatar</w:t>
      </w:r>
    </w:p>
    <w:p>
      <w:pPr>
        <w:pStyle w:val="BodyText"/>
      </w:pPr>
      <w:r>
        <w:t xml:space="preserve">Ministry of Justice</w:t>
      </w:r>
    </w:p>
    <w:p>
      <w:pPr>
        <w:pStyle w:val="BodyText"/>
      </w:pPr>
      <w:r>
        <w:t xml:space="preserve">Al Sadd District, Doha</w:t>
      </w:r>
    </w:p>
    <w:p>
      <w:pPr>
        <w:pStyle w:val="BodyText"/>
      </w:pPr>
      <w:r>
        <w:t xml:space="preserve">State of Qatar</w:t>
      </w:r>
    </w:p>
    <w:p>
      <w:pPr>
        <w:pStyle w:val="BodyText"/>
      </w:pPr>
      <w:r>
        <w:t xml:space="preserve">P.O. Box 1042, Doha</w:t>
      </w:r>
    </w:p>
    <w:p>
      <w:pPr>
        <w:pStyle w:val="BodyText"/>
      </w:pPr>
      <w:r>
        <w:t xml:space="preserve">Tel: +974-4444-7777</w:t>
      </w:r>
    </w:p>
    <w:p>
      <w:pPr>
        <w:pStyle w:val="BodyText"/>
      </w:pPr>
      <w:r>
        <w:t xml:space="preserve">Email: procurement@scq.gov.qa</w:t>
      </w:r>
    </w:p>
    <w:bookmarkEnd w:id="21"/>
    <w:bookmarkStart w:id="22" w:name="supplier-vendor"/>
    <w:p>
      <w:pPr>
        <w:pStyle w:val="Heading3"/>
      </w:pPr>
      <w:r>
        <w:t xml:space="preserve">Supplier (Vendor)</w:t>
      </w:r>
    </w:p>
    <w:p>
      <w:pPr>
        <w:pStyle w:val="FirstParagraph"/>
      </w:pPr>
      <w:r>
        <w:rPr>
          <w:bCs/>
          <w:b/>
        </w:rPr>
        <w:t xml:space="preserve">Gulf Judicial Solutions LLC</w:t>
      </w:r>
    </w:p>
    <w:p>
      <w:pPr>
        <w:pStyle w:val="BodyText"/>
      </w:pPr>
      <w:r>
        <w:t xml:space="preserve">Industrial Area, Doha</w:t>
      </w:r>
    </w:p>
    <w:p>
      <w:pPr>
        <w:pStyle w:val="BodyText"/>
      </w:pPr>
      <w:r>
        <w:t xml:space="preserve">State of Qatar</w:t>
      </w:r>
    </w:p>
    <w:p>
      <w:pPr>
        <w:pStyle w:val="BodyText"/>
      </w:pPr>
      <w:r>
        <w:t xml:space="preserve">CR No.: 1234567</w:t>
      </w:r>
    </w:p>
    <w:p>
      <w:pPr>
        <w:pStyle w:val="BodyText"/>
      </w:pPr>
      <w:r>
        <w:t xml:space="preserve">Tel: +974-4455-8899</w:t>
      </w:r>
    </w:p>
    <w:p>
      <w:pPr>
        <w:pStyle w:val="BodyText"/>
      </w:pPr>
      <w:r>
        <w:t xml:space="preserve">Email: sales@gulfjudicial.qa</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15 August 2025</w:t>
      </w:r>
    </w:p>
    <w:p>
      <w:pPr>
        <w:pStyle w:val="BodyText"/>
      </w:pPr>
      <w:r>
        <w:rPr>
          <w:bCs/>
          <w:b/>
        </w:rPr>
        <w:t xml:space="preserve">Delivery Location:</w:t>
      </w:r>
      <w:r>
        <w:t xml:space="preserve"> </w:t>
      </w:r>
      <w:r>
        <w:t xml:space="preserve">Supreme Court Building, Al Sadd, Doha, Qatar</w:t>
      </w:r>
    </w:p>
    <w:p>
      <w:pPr>
        <w:pStyle w:val="BodyText"/>
      </w:pPr>
      <w:r>
        <w:rPr>
          <w:bCs/>
          <w:b/>
        </w:rPr>
        <w:t xml:space="preserve">Payment Terms:</w:t>
      </w:r>
      <w:r>
        <w:t xml:space="preserve"> </w:t>
      </w:r>
      <w:r>
        <w:t xml:space="preserve">Net 45 days from delivery</w:t>
      </w:r>
    </w:p>
    <w:p>
      <w:pPr>
        <w:pStyle w:val="BodyText"/>
      </w:pPr>
      <w:r>
        <w:rPr>
          <w:bCs/>
          <w:b/>
        </w:rPr>
        <w:t xml:space="preserve">Currency:</w:t>
      </w:r>
      <w:r>
        <w:t xml:space="preserve"> </w:t>
      </w:r>
      <w:r>
        <w:t xml:space="preserve">Qatari Riyal (QAR)</w:t>
      </w:r>
    </w:p>
    <w:bookmarkEnd w:id="23"/>
    <w:bookmarkStart w:id="24" w:name="authorized-official"/>
    <w:p>
      <w:pPr>
        <w:pStyle w:val="Heading3"/>
      </w:pPr>
      <w:r>
        <w:t xml:space="preserve">Authorized Official</w:t>
      </w:r>
    </w:p>
    <w:p>
      <w:pPr>
        <w:pStyle w:val="FirstParagraph"/>
      </w:pPr>
      <w:r>
        <w:rPr>
          <w:bCs/>
          <w:b/>
        </w:rPr>
        <w:t xml:space="preserve">Prepared by:</w:t>
      </w:r>
      <w:r>
        <w:t xml:space="preserve"> </w:t>
      </w:r>
      <w:r>
        <w:t xml:space="preserve">Eng. Khalid Al-Mansoori</w:t>
      </w:r>
    </w:p>
    <w:p>
      <w:pPr>
        <w:pStyle w:val="BodyText"/>
      </w:pPr>
      <w:r>
        <w:t xml:space="preserve">Procurement Officer, Judicial Division</w:t>
      </w:r>
    </w:p>
    <w:p>
      <w:pPr>
        <w:pStyle w:val="BodyText"/>
      </w:pPr>
      <w:r>
        <w:rPr>
          <w:bCs/>
          <w:b/>
        </w:rPr>
        <w:t xml:space="preserve">Approved by:</w:t>
      </w:r>
      <w:r>
        <w:t xml:space="preserve"> </w:t>
      </w:r>
      <w:r>
        <w:t xml:space="preserve">H.E. The Chief Justice</w:t>
      </w:r>
    </w:p>
    <w:p>
      <w:pPr>
        <w:pStyle w:val="BodyText"/>
      </w:pPr>
      <w:r>
        <w:t xml:space="preserve">Supreme Court of Qatar, Doha</w:t>
      </w:r>
    </w:p>
    <w:bookmarkEnd w:id="24"/>
    <w:bookmarkStart w:id="26" w:name="X267fb76c2c6fdf509cc71491e2156ec7671e124"/>
    <w:p>
      <w:pPr>
        <w:pStyle w:val="Heading2"/>
      </w:pPr>
      <w:r>
        <w:t xml:space="preserve">Line Items — Equipment and Supplies for the Judge’s Chamber and Courtroom</w:t>
      </w:r>
    </w:p>
    <w:p>
      <w:pPr>
        <w:pStyle w:val="FirstParagraph"/>
      </w:pPr>
      <w:r>
        <w:t xml:space="preserve">The following items are procured specifically for the use of the presiding Judge and the judicial staff at the Supreme Court of Qatar, Doha. All items must meet the specifications outlined in the attached technical annex and comply with Qatari government procurement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Judge’s Bench — Executive Wood Paneling with Integrated Cable Management</w:t>
            </w:r>
          </w:p>
        </w:tc>
        <w:tc>
          <w:tcPr/>
          <w:p>
            <w:pPr>
              <w:pStyle w:val="Compact"/>
              <w:jc w:val="left"/>
            </w:pPr>
            <w:r>
              <w:t xml:space="preserve">Walnut finish, 2400mm W × 900mm D × 1100mm H</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Judge’s Gavel &amp; Sound Block Set (Ceremonial)</w:t>
            </w:r>
          </w:p>
        </w:tc>
        <w:tc>
          <w:tcPr/>
          <w:p>
            <w:pPr>
              <w:pStyle w:val="Compact"/>
              <w:jc w:val="left"/>
            </w:pPr>
            <w:r>
              <w:t xml:space="preserve">Brass and mahogany, engraved with national emblem</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Electronic Case Management Terminal for Judge’s Desk</w:t>
            </w:r>
          </w:p>
        </w:tc>
        <w:tc>
          <w:tcPr/>
          <w:p>
            <w:pPr>
              <w:pStyle w:val="Compact"/>
              <w:jc w:val="left"/>
            </w:pPr>
            <w:r>
              <w:t xml:space="preserve">32-inch 4K display, dual CPU, 64GB RAM, 2TB SSD</w:t>
            </w:r>
          </w:p>
        </w:tc>
        <w:tc>
          <w:tcPr/>
          <w:p>
            <w:pPr>
              <w:pStyle w:val="Compact"/>
              <w:jc w:val="left"/>
            </w:pPr>
            <w:r>
              <w:t xml:space="preserve">4</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High-Fidelity Audio System for Courtroom (Judge’s Position)</w:t>
            </w:r>
          </w:p>
        </w:tc>
        <w:tc>
          <w:tcPr/>
          <w:p>
            <w:pPr>
              <w:pStyle w:val="Compact"/>
              <w:jc w:val="left"/>
            </w:pPr>
            <w:r>
              <w:t xml:space="preserve">Directional microphone, 4-channel amplifier, ceiling speakers</w:t>
            </w:r>
          </w:p>
        </w:tc>
        <w:tc>
          <w:tcPr/>
          <w:p>
            <w:pPr>
              <w:pStyle w:val="Compact"/>
              <w:jc w:val="left"/>
            </w:pPr>
            <w:r>
              <w:t xml:space="preserve">4</w:t>
            </w:r>
          </w:p>
        </w:tc>
        <w:tc>
          <w:tcPr/>
          <w:p>
            <w:pPr>
              <w:pStyle w:val="Compact"/>
              <w:jc w:val="left"/>
            </w:pPr>
            <w:r>
              <w:t xml:space="preserve">9,400.00</w:t>
            </w:r>
          </w:p>
        </w:tc>
        <w:tc>
          <w:tcPr/>
          <w:p>
            <w:pPr>
              <w:pStyle w:val="Compact"/>
              <w:jc w:val="left"/>
            </w:pPr>
            <w:r>
              <w:t xml:space="preserve">37,600.00</w:t>
            </w:r>
          </w:p>
        </w:tc>
      </w:tr>
      <w:tr>
        <w:tc>
          <w:tcPr/>
          <w:p>
            <w:pPr>
              <w:pStyle w:val="Compact"/>
              <w:jc w:val="left"/>
            </w:pPr>
            <w:r>
              <w:t xml:space="preserve">5</w:t>
            </w:r>
          </w:p>
        </w:tc>
        <w:tc>
          <w:tcPr/>
          <w:p>
            <w:pPr>
              <w:pStyle w:val="Compact"/>
              <w:jc w:val="left"/>
            </w:pPr>
            <w:r>
              <w:t xml:space="preserve">Judge’s Writing Desk &amp; Document Organizer (Ergonomic)</w:t>
            </w:r>
          </w:p>
        </w:tc>
        <w:tc>
          <w:tcPr/>
          <w:p>
            <w:pPr>
              <w:pStyle w:val="Compact"/>
              <w:jc w:val="left"/>
            </w:pPr>
            <w:r>
              <w:t xml:space="preserve">Adjustable height, leather inlay, 6-tier document tray</w:t>
            </w:r>
          </w:p>
        </w:tc>
        <w:tc>
          <w:tcPr/>
          <w:p>
            <w:pPr>
              <w:pStyle w:val="Compact"/>
              <w:jc w:val="left"/>
            </w:pPr>
            <w:r>
              <w:t xml:space="preserve">4</w:t>
            </w:r>
          </w:p>
        </w:tc>
        <w:tc>
          <w:tcPr/>
          <w:p>
            <w:pPr>
              <w:pStyle w:val="Compact"/>
              <w:jc w:val="left"/>
            </w:pPr>
            <w:r>
              <w:t xml:space="preserve">6,800.00</w:t>
            </w:r>
          </w:p>
        </w:tc>
        <w:tc>
          <w:tcPr/>
          <w:p>
            <w:pPr>
              <w:pStyle w:val="Compact"/>
              <w:jc w:val="left"/>
            </w:pPr>
            <w:r>
              <w:t xml:space="preserve">27,200.00</w:t>
            </w:r>
          </w:p>
        </w:tc>
      </w:tr>
      <w:tr>
        <w:tc>
          <w:tcPr/>
          <w:p>
            <w:pPr>
              <w:pStyle w:val="Compact"/>
              <w:jc w:val="left"/>
            </w:pPr>
            <w:r>
              <w:t xml:space="preserve">6</w:t>
            </w:r>
          </w:p>
        </w:tc>
        <w:tc>
          <w:tcPr/>
          <w:p>
            <w:pPr>
              <w:pStyle w:val="Compact"/>
              <w:jc w:val="left"/>
            </w:pPr>
            <w:r>
              <w:t xml:space="preserve">Secure Filing Cabinet for Judicial Records (Judge’s Chamber)</w:t>
            </w:r>
          </w:p>
        </w:tc>
        <w:tc>
          <w:tcPr/>
          <w:p>
            <w:pPr>
              <w:pStyle w:val="Compact"/>
              <w:jc w:val="left"/>
            </w:pPr>
            <w:r>
              <w:t xml:space="preserve">Fire-rated, biometric lock, 12-drawer, steel construction</w:t>
            </w:r>
          </w:p>
        </w:tc>
        <w:tc>
          <w:tcPr/>
          <w:p>
            <w:pPr>
              <w:pStyle w:val="Compact"/>
              <w:jc w:val="left"/>
            </w:pPr>
            <w:r>
              <w:t xml:space="preserve">8</w:t>
            </w:r>
          </w:p>
        </w:tc>
        <w:tc>
          <w:tcPr/>
          <w:p>
            <w:pPr>
              <w:pStyle w:val="Compact"/>
              <w:jc w:val="left"/>
            </w:pPr>
            <w:r>
              <w:t xml:space="preserve">4,350.00</w:t>
            </w:r>
          </w:p>
        </w:tc>
        <w:tc>
          <w:tcPr/>
          <w:p>
            <w:pPr>
              <w:pStyle w:val="Compact"/>
              <w:jc w:val="left"/>
            </w:pPr>
            <w:r>
              <w:t xml:space="preserve">34,800.00</w:t>
            </w:r>
          </w:p>
        </w:tc>
      </w:tr>
      <w:tr>
        <w:tc>
          <w:tcPr/>
          <w:p>
            <w:pPr>
              <w:pStyle w:val="Compact"/>
              <w:jc w:val="left"/>
            </w:pPr>
            <w:r>
              <w:t xml:space="preserve">7</w:t>
            </w:r>
          </w:p>
        </w:tc>
        <w:tc>
          <w:tcPr/>
          <w:p>
            <w:pPr>
              <w:pStyle w:val="Compact"/>
              <w:jc w:val="left"/>
            </w:pPr>
            <w:r>
              <w:t xml:space="preserve">LED Video Conferencing Display for Remote Hearings</w:t>
            </w:r>
          </w:p>
        </w:tc>
        <w:tc>
          <w:tcPr/>
          <w:p>
            <w:pPr>
              <w:pStyle w:val="Compact"/>
              <w:jc w:val="left"/>
            </w:pPr>
            <w:r>
              <w:t xml:space="preserve">85-inch 4K, integrated camera, 1080p, wall-mount</w:t>
            </w:r>
          </w:p>
        </w:tc>
        <w:tc>
          <w:tcPr/>
          <w:p>
            <w:pPr>
              <w:pStyle w:val="Compact"/>
              <w:jc w:val="left"/>
            </w:pPr>
            <w:r>
              <w:t xml:space="preserve">4</w:t>
            </w:r>
          </w:p>
        </w:tc>
        <w:tc>
          <w:tcPr/>
          <w:p>
            <w:pPr>
              <w:pStyle w:val="Compact"/>
              <w:jc w:val="left"/>
            </w:pPr>
            <w:r>
              <w:t xml:space="preserve">15,200.00</w:t>
            </w:r>
          </w:p>
        </w:tc>
        <w:tc>
          <w:tcPr/>
          <w:p>
            <w:pPr>
              <w:pStyle w:val="Compact"/>
              <w:jc w:val="left"/>
            </w:pPr>
            <w:r>
              <w:t xml:space="preserve">60,800.00</w:t>
            </w:r>
          </w:p>
        </w:tc>
      </w:tr>
      <w:tr>
        <w:tc>
          <w:tcPr/>
          <w:p>
            <w:pPr>
              <w:pStyle w:val="Compact"/>
              <w:jc w:val="left"/>
            </w:pPr>
            <w:r>
              <w:t xml:space="preserve">8</w:t>
            </w:r>
          </w:p>
        </w:tc>
        <w:tc>
          <w:tcPr/>
          <w:p>
            <w:pPr>
              <w:pStyle w:val="Compact"/>
              <w:jc w:val="left"/>
            </w:pPr>
            <w:r>
              <w:t xml:space="preserve">Judge’s Robe &amp; Ceremonial Attire (Standard Issue)</w:t>
            </w:r>
          </w:p>
        </w:tc>
        <w:tc>
          <w:tcPr/>
          <w:p>
            <w:pPr>
              <w:pStyle w:val="Compact"/>
              <w:jc w:val="left"/>
            </w:pPr>
            <w:r>
              <w:t xml:space="preserve">Black wool blend, embroidered national insignia, size range S–XXL</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9</w:t>
            </w:r>
          </w:p>
        </w:tc>
        <w:tc>
          <w:tcPr/>
          <w:p>
            <w:pPr>
              <w:pStyle w:val="Compact"/>
              <w:jc w:val="left"/>
            </w:pPr>
            <w:r>
              <w:t xml:space="preserve">Legal Reference Library Set (Qatari &amp; International Law)</w:t>
            </w:r>
          </w:p>
        </w:tc>
        <w:tc>
          <w:tcPr/>
          <w:p>
            <w:pPr>
              <w:pStyle w:val="Compact"/>
              <w:jc w:val="left"/>
            </w:pPr>
            <w:r>
              <w:t xml:space="preserve">Complete set, 200+ volumes, Arabic &amp; English editions</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10</w:t>
            </w:r>
          </w:p>
        </w:tc>
        <w:tc>
          <w:tcPr/>
          <w:p>
            <w:pPr>
              <w:pStyle w:val="Compact"/>
              <w:jc w:val="left"/>
            </w:pPr>
            <w:r>
              <w:t xml:space="preserve">Climate-Controlled Judge’s Chamber Furniture Package</w:t>
            </w:r>
          </w:p>
        </w:tc>
        <w:tc>
          <w:tcPr/>
          <w:p>
            <w:pPr>
              <w:pStyle w:val="Compact"/>
              <w:jc w:val="left"/>
            </w:pPr>
            <w:r>
              <w:t xml:space="preserve">Executive chair, 4 guest chairs, side table, bookshelf</w:t>
            </w:r>
          </w:p>
        </w:tc>
        <w:tc>
          <w:tcPr/>
          <w:p>
            <w:pPr>
              <w:pStyle w:val="Compact"/>
              <w:jc w:val="left"/>
            </w:pPr>
            <w:r>
              <w:t xml:space="preserve">4</w:t>
            </w:r>
          </w:p>
        </w:tc>
        <w:tc>
          <w:tcPr/>
          <w:p>
            <w:pPr>
              <w:pStyle w:val="Compact"/>
              <w:jc w:val="left"/>
            </w:pPr>
            <w:r>
              <w:t xml:space="preserve">11,600.00</w:t>
            </w:r>
          </w:p>
        </w:tc>
        <w:tc>
          <w:tcPr/>
          <w:p>
            <w:pPr>
              <w:pStyle w:val="Compact"/>
              <w:jc w:val="left"/>
            </w:pPr>
            <w:r>
              <w:t xml:space="preserve">46,400.00</w:t>
            </w:r>
          </w:p>
        </w:tc>
      </w:tr>
      <w:tr>
        <w:tc>
          <w:tcPr>
            <w:gridSpan w:val="5"/>
          </w:tcPr>
          <w:p>
            <w:pPr>
              <w:pStyle w:val="Compact"/>
              <w:jc w:val="right"/>
            </w:pPr>
            <w:r>
              <w:t xml:space="preserve">SUBTOTAL</w:t>
            </w:r>
          </w:p>
        </w:tc>
        <w:tc>
          <w:tcPr/>
          <w:p>
            <w:pPr>
              <w:pStyle w:val="Compact"/>
              <w:jc w:val="left"/>
            </w:pPr>
            <w:r>
              <w:t xml:space="preserve">474,800.00</w:t>
            </w:r>
          </w:p>
        </w:tc>
      </w:tr>
      <w:tr>
        <w:tc>
          <w:tcPr>
            <w:gridSpan w:val="5"/>
          </w:tcPr>
          <w:p>
            <w:pPr>
              <w:pStyle w:val="Compact"/>
              <w:jc w:val="right"/>
            </w:pPr>
            <w:r>
              <w:t xml:space="preserve">VAT (5% — Qatar Standard Rate)</w:t>
            </w:r>
          </w:p>
        </w:tc>
        <w:tc>
          <w:tcPr/>
          <w:p>
            <w:pPr>
              <w:pStyle w:val="Compact"/>
              <w:jc w:val="left"/>
            </w:pPr>
            <w:r>
              <w:t xml:space="preserve">23,740.00</w:t>
            </w:r>
          </w:p>
        </w:tc>
      </w:tr>
      <w:tr>
        <w:tc>
          <w:tcPr>
            <w:gridSpan w:val="5"/>
          </w:tcPr>
          <w:p>
            <w:pPr>
              <w:pStyle w:val="Compact"/>
              <w:jc w:val="right"/>
            </w:pPr>
            <w:r>
              <w:t xml:space="preserve">GRAND TOTAL</w:t>
            </w:r>
          </w:p>
        </w:tc>
        <w:tc>
          <w:tcPr/>
          <w:p>
            <w:pPr>
              <w:pStyle w:val="Compact"/>
              <w:jc w:val="left"/>
            </w:pPr>
            <w:r>
              <w:t xml:space="preserve">498,540.00 QAR</w:t>
            </w:r>
          </w:p>
        </w:tc>
      </w:tr>
    </w:tbl>
    <w:bookmarkStart w:id="25" w:name="terms-and-conditions"/>
    <w:p>
      <w:pPr>
        <w:pStyle w:val="Heading3"/>
      </w:pPr>
      <w:r>
        <w:t xml:space="preserve">Terms and Conditions</w:t>
      </w:r>
    </w:p>
    <w:p>
      <w:pPr>
        <w:numPr>
          <w:ilvl w:val="0"/>
          <w:numId w:val="1001"/>
        </w:numPr>
        <w:pStyle w:val="Compact"/>
      </w:pPr>
      <w:r>
        <w:rPr>
          <w:bCs/>
          <w:b/>
        </w:rPr>
        <w:t xml:space="preserve">Scope of Supply:</w:t>
      </w:r>
      <w:r>
        <w:t xml:space="preserve"> </w:t>
      </w:r>
      <w:r>
        <w:t xml:space="preserve">All items listed above are procured exclusively for the Judge and judicial personnel at the Supreme Court of Qatar, Doha. The supplier shall ensure that every item is new, unused, and in full compliance with the technical specifications provided in Annex A of this Purchase Order.</w:t>
      </w:r>
    </w:p>
    <w:p>
      <w:pPr>
        <w:numPr>
          <w:ilvl w:val="0"/>
          <w:numId w:val="1001"/>
        </w:numPr>
        <w:pStyle w:val="Compact"/>
      </w:pPr>
      <w:r>
        <w:rPr>
          <w:bCs/>
          <w:b/>
        </w:rPr>
        <w:t xml:space="preserve">Delivery:</w:t>
      </w:r>
      <w:r>
        <w:t xml:space="preserve"> </w:t>
      </w:r>
      <w:r>
        <w:t xml:space="preserve">The supplier shall deliver all goods to the Supreme Court Building, Al Sadd District, Doha, Qatar, no later than 15 August 2025. Delivery shall be made between 08:00 and 16:00 local time on weekdays. The supplier is responsible for all transportation, insurance, and handling costs up to the point of delivery in Doha.</w:t>
      </w:r>
    </w:p>
    <w:p>
      <w:pPr>
        <w:numPr>
          <w:ilvl w:val="0"/>
          <w:numId w:val="1001"/>
        </w:numPr>
        <w:pStyle w:val="Compact"/>
      </w:pPr>
      <w:r>
        <w:rPr>
          <w:bCs/>
          <w:b/>
        </w:rPr>
        <w:t xml:space="preserve">Installation and Commissioning:</w:t>
      </w:r>
      <w:r>
        <w:t xml:space="preserve"> </w:t>
      </w:r>
      <w:r>
        <w:t xml:space="preserve">The supplier shall provide full installation, calibration, and commissioning of all electronic and audio-visual equipment. A minimum of three (3) days of on-site technical support in Doha shall be provided following installation to ensure the Judge and court staff are fully operational with all systems.</w:t>
      </w:r>
    </w:p>
    <w:p>
      <w:pPr>
        <w:numPr>
          <w:ilvl w:val="0"/>
          <w:numId w:val="1001"/>
        </w:numPr>
        <w:pStyle w:val="Compact"/>
      </w:pPr>
      <w:r>
        <w:rPr>
          <w:bCs/>
          <w:b/>
        </w:rPr>
        <w:t xml:space="preserve">Warranty:</w:t>
      </w:r>
      <w:r>
        <w:t xml:space="preserve"> </w:t>
      </w:r>
      <w:r>
        <w:t xml:space="preserve">All items carry a minimum warranty period of two (2) years from the date of acceptance. Electronic components shall carry a minimum three (3) year warranty. The supplier shall respond to any warranty claim within forty-eight (48) hours of notification.</w:t>
      </w:r>
    </w:p>
    <w:p>
      <w:pPr>
        <w:numPr>
          <w:ilvl w:val="0"/>
          <w:numId w:val="1001"/>
        </w:numPr>
        <w:pStyle w:val="Compact"/>
      </w:pPr>
      <w:r>
        <w:rPr>
          <w:bCs/>
          <w:b/>
        </w:rPr>
        <w:t xml:space="preserve">Payment:</w:t>
      </w:r>
      <w:r>
        <w:t xml:space="preserve"> </w:t>
      </w:r>
      <w:r>
        <w:t xml:space="preserve">Payment shall be made in Qatari Riyal (QAR) via bank transfer within forty-five (45) calendar days of the Buyer’s written acceptance of the delivered goods. A 10% retention shall be withheld until the warranty period expires without unresolved defects.</w:t>
      </w:r>
    </w:p>
    <w:p>
      <w:pPr>
        <w:numPr>
          <w:ilvl w:val="0"/>
          <w:numId w:val="1001"/>
        </w:numPr>
        <w:pStyle w:val="Compact"/>
      </w:pPr>
      <w:r>
        <w:rPr>
          <w:bCs/>
          <w:b/>
        </w:rPr>
        <w:t xml:space="preserve">Compliance:</w:t>
      </w:r>
      <w:r>
        <w:t xml:space="preserve"> </w:t>
      </w:r>
      <w:r>
        <w:t xml:space="preserve">All goods must comply with the regulations of the Ministry of Justice of Qatar and the standards set by the Qatar Standards and Metrology Organization (QSO). The supplier shall provide all necessary certificates of origin, conformity, and safety documentation upon delivery.</w:t>
      </w:r>
    </w:p>
    <w:p>
      <w:pPr>
        <w:numPr>
          <w:ilvl w:val="0"/>
          <w:numId w:val="1001"/>
        </w:numPr>
        <w:pStyle w:val="Compact"/>
      </w:pPr>
      <w:r>
        <w:rPr>
          <w:bCs/>
          <w:b/>
        </w:rPr>
        <w:t xml:space="preserve">Confidentiality:</w:t>
      </w:r>
      <w:r>
        <w:t xml:space="preserve"> </w:t>
      </w:r>
      <w:r>
        <w:t xml:space="preserve">The supplier acknowledges that this Purchase Order pertains to judicial operations. All information related to the Judge’s chamber, courtroom layout, and security systems shall be treated as strictly confidential and shall not be disclosed to any third party without written authorization from the Supreme Court of Qatar.</w:t>
      </w:r>
    </w:p>
    <w:p>
      <w:pPr>
        <w:numPr>
          <w:ilvl w:val="0"/>
          <w:numId w:val="1001"/>
        </w:numPr>
        <w:pStyle w:val="Compact"/>
      </w:pPr>
      <w:r>
        <w:rPr>
          <w:bCs/>
          <w:b/>
        </w:rPr>
        <w:t xml:space="preserve">Penalties:</w:t>
      </w:r>
      <w:r>
        <w:t xml:space="preserve"> </w:t>
      </w:r>
      <w:r>
        <w:t xml:space="preserve">In the event of delayed delivery beyond the stipulated deadline, the supplier shall incur a penalty of 0.5% of the total Purchase Order value per day of delay, up to a maximum of 10% of the total value. Delays exceeding thirty (30) days shall entitle the Buyer to cancel this Purchase Order without liability.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Qatar. Any disputes arising from this order shall be subject to the exclusive jurisdiction of the courts in Doha, Qatar.</w:t>
      </w:r>
    </w:p>
    <w:p>
      <w:pPr>
        <w:numPr>
          <w:ilvl w:val="0"/>
          <w:numId w:val="1001"/>
        </w:numPr>
        <w:pStyle w:val="Compact"/>
      </w:pPr>
      <w:r>
        <w:rPr>
          <w:bCs/>
          <w:b/>
        </w:rPr>
        <w:t xml:space="preserve">Acceptance:</w:t>
      </w:r>
      <w:r>
        <w:t xml:space="preserve"> </w:t>
      </w:r>
      <w:r>
        <w:t xml:space="preserve">The Buyer shall have ten (10) business days from the date of delivery to inspect and accept or reject the goods. Rejection must be communicated in writing with specific reasons. Accepted goods shall be deemed final upon the Buyer’s written confirmation.</w:t>
      </w:r>
    </w:p>
    <w:bookmarkEnd w:id="25"/>
    <w:p>
      <w:pPr>
        <w:pStyle w:val="FirstParagraph"/>
      </w:pPr>
      <w:r>
        <w:rPr>
          <w:bCs/>
          <w:b/>
        </w:rPr>
        <w:t xml:space="preserve">For and on behalf of the Buyer:</w:t>
      </w:r>
    </w:p>
    <w:p>
      <w:pPr>
        <w:pStyle w:val="BodyText"/>
      </w:pPr>
      <w:r>
        <w:t xml:space="preserve">H.E. The Chief Justice</w:t>
      </w:r>
      <w:r>
        <w:br/>
      </w:r>
      <w:r>
        <w:t xml:space="preserve">Supreme Court of Qatar, Doha</w:t>
      </w:r>
      <w:r>
        <w:br/>
      </w:r>
      <w:r>
        <w:t xml:space="preserve">Date: _______________</w:t>
      </w:r>
    </w:p>
    <w:p>
      <w:pPr>
        <w:pStyle w:val="BodyText"/>
      </w:pPr>
      <w:r>
        <w:rPr>
          <w:bCs/>
          <w:b/>
        </w:rPr>
        <w:t xml:space="preserve">For and on behalf of the Supplier:</w:t>
      </w:r>
    </w:p>
    <w:p>
      <w:pPr>
        <w:pStyle w:val="BodyText"/>
      </w:pPr>
      <w:r>
        <w:t xml:space="preserve">Authorized Signatory</w:t>
      </w:r>
      <w:r>
        <w:br/>
      </w:r>
      <w:r>
        <w:t xml:space="preserve">Gulf Judicial Solutions LLC, Doha</w:t>
      </w:r>
      <w:r>
        <w:br/>
      </w:r>
      <w:r>
        <w:t xml:space="preserve">Date: _______________</w:t>
      </w:r>
    </w:p>
    <w:p>
      <w:pPr>
        <w:pStyle w:val="BodyText"/>
      </w:pPr>
      <w:r>
        <w:t xml:space="preserve">This Purchase Order is an official document of the Supreme Court of Qatar, Doha. Unauthorized reproduction or distribution is prohibited.</w:t>
      </w:r>
    </w:p>
    <w:p>
      <w:pPr>
        <w:pStyle w:val="BodyText"/>
      </w:pPr>
      <w:r>
        <w:t xml:space="preserve">Document Reference: QTR-JDG-2025-04871 | Page 1 of 1 | Issued: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Doha, Qatar</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