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Equipment</w:t>
      </w:r>
      <w:r>
        <w:t xml:space="preserve"> </w:t>
      </w:r>
      <w:r>
        <w:t xml:space="preserve">for</w:t>
      </w:r>
      <w:r>
        <w:t xml:space="preserve"> </w:t>
      </w:r>
      <w:r>
        <w:t xml:space="preserve">Judge</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Supreme Judicial Procurement Authority of the Russian Federation</w:t>
      </w:r>
    </w:p>
    <w:p>
      <w:pPr>
        <w:pStyle w:val="BodyText"/>
      </w:pPr>
      <w:r>
        <w:t xml:space="preserve">Department of Court Administration &amp; Judicial Supplies</w:t>
      </w:r>
    </w:p>
    <w:p>
      <w:pPr>
        <w:pStyle w:val="BodyText"/>
      </w:pPr>
      <w:r>
        <w:t xml:space="preserve">12 Presnenskaya Embankment, Moscow, 123112, Russia</w:t>
      </w:r>
    </w:p>
    <w:p>
      <w:pPr>
        <w:pStyle w:val="BodyText"/>
      </w:pPr>
      <w:r>
        <w:t xml:space="preserve">Tel: +7 (495) 987-65-43 | Email: procurement@judiciary.moscow.ru</w:t>
      </w:r>
    </w:p>
    <w:bookmarkEnd w:id="20"/>
    <w:p>
      <w:pPr>
        <w:pStyle w:val="BodyText"/>
      </w:pPr>
      <w:r>
        <w:rPr>
          <w:bCs/>
          <w:b/>
        </w:rPr>
        <w:t xml:space="preserve">Purchase Order No.:</w:t>
      </w:r>
      <w:r>
        <w:t xml:space="preserve"> </w:t>
      </w:r>
      <w:r>
        <w:t xml:space="preserve">PO-RU-MSC-2025-04871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Standard</w:t>
      </w:r>
      <w:r>
        <w:br/>
      </w:r>
      <w:r>
        <w:rPr>
          <w:bCs/>
          <w:b/>
        </w:rPr>
        <w:t xml:space="preserve">Currency:</w:t>
      </w:r>
      <w:r>
        <w:t xml:space="preserve"> </w:t>
      </w:r>
      <w:r>
        <w:t xml:space="preserve">Russian Ruble (RUB)</w:t>
      </w:r>
      <w:r>
        <w:br/>
      </w:r>
      <w:r>
        <w:rPr>
          <w:bCs/>
          <w:b/>
        </w:rPr>
        <w:t xml:space="preserve">Classification:</w:t>
      </w:r>
      <w:r>
        <w:t xml:space="preserve"> </w:t>
      </w:r>
      <w:r>
        <w:t xml:space="preserve">Government Procurement</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Supreme Judicial Procurement Authority of the Russian Federation, Moscow District Court</w:t>
            </w:r>
          </w:p>
        </w:tc>
      </w:tr>
      <w:tr>
        <w:tc>
          <w:tcPr/>
          <w:p>
            <w:pPr>
              <w:pStyle w:val="Compact"/>
              <w:jc w:val="left"/>
            </w:pPr>
            <w:r>
              <w:t xml:space="preserve">Address</w:t>
            </w:r>
          </w:p>
        </w:tc>
        <w:tc>
          <w:tcPr/>
          <w:p>
            <w:pPr>
              <w:pStyle w:val="Compact"/>
              <w:jc w:val="left"/>
            </w:pPr>
            <w:r>
              <w:t xml:space="preserve">12 Presnenskaya Embankment, Moscow, 123112, Russia</w:t>
            </w:r>
          </w:p>
        </w:tc>
      </w:tr>
      <w:tr>
        <w:tc>
          <w:tcPr/>
          <w:p>
            <w:pPr>
              <w:pStyle w:val="Compact"/>
              <w:jc w:val="left"/>
            </w:pPr>
            <w:r>
              <w:t xml:space="preserve">Authorized Representative</w:t>
            </w:r>
          </w:p>
        </w:tc>
        <w:tc>
          <w:tcPr/>
          <w:p>
            <w:pPr>
              <w:pStyle w:val="Compact"/>
              <w:jc w:val="left"/>
            </w:pPr>
            <w:r>
              <w:t xml:space="preserve">Hon. Viktor A. Sokolov, Chief Administrative Officer</w:t>
            </w:r>
          </w:p>
        </w:tc>
      </w:tr>
      <w:tr>
        <w:tc>
          <w:tcPr/>
          <w:p>
            <w:pPr>
              <w:pStyle w:val="Compact"/>
              <w:jc w:val="left"/>
            </w:pPr>
            <w:r>
              <w:t xml:space="preserve">Tax Identification (INN)</w:t>
            </w:r>
          </w:p>
        </w:tc>
        <w:tc>
          <w:tcPr/>
          <w:p>
            <w:pPr>
              <w:pStyle w:val="Compact"/>
              <w:jc w:val="left"/>
            </w:pPr>
            <w:r>
              <w:t xml:space="preserve">7704083893</w:t>
            </w:r>
          </w:p>
        </w:tc>
      </w:tr>
      <w:tr>
        <w:tc>
          <w:tcPr/>
          <w:p>
            <w:pPr>
              <w:pStyle w:val="Compact"/>
              <w:jc w:val="left"/>
            </w:pPr>
            <w:r>
              <w:t xml:space="preserve">Bank Details</w:t>
            </w:r>
          </w:p>
        </w:tc>
        <w:tc>
          <w:tcPr/>
          <w:p>
            <w:pPr>
              <w:pStyle w:val="Compact"/>
              <w:jc w:val="left"/>
            </w:pPr>
            <w:r>
              <w:t xml:space="preserve">Sberbank, Account 40703810400000012345, BIC: 044525225</w:t>
            </w:r>
          </w:p>
        </w:tc>
      </w:tr>
    </w:tbl>
    <w:bookmarkEnd w:id="21"/>
    <w:bookmarkStart w:id="22" w:name="seller-supplier-information"/>
    <w:p>
      <w:pPr>
        <w:pStyle w:val="Heading2"/>
      </w:pPr>
      <w:r>
        <w:t xml:space="preserve">2. Seller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St. Petersburg Judicial Furnishings &amp; Attire Ltd. (OOO "Sudebnye Predmety")</w:t>
            </w:r>
          </w:p>
        </w:tc>
      </w:tr>
      <w:tr>
        <w:tc>
          <w:tcPr/>
          <w:p>
            <w:pPr>
              <w:pStyle w:val="Compact"/>
              <w:jc w:val="left"/>
            </w:pPr>
            <w:r>
              <w:t xml:space="preserve">Address</w:t>
            </w:r>
          </w:p>
        </w:tc>
        <w:tc>
          <w:tcPr/>
          <w:p>
            <w:pPr>
              <w:pStyle w:val="Compact"/>
              <w:jc w:val="left"/>
            </w:pPr>
            <w:r>
              <w:t xml:space="preserve">45 Liteyny Avenue, St. Petersburg, 191024, Russia</w:t>
            </w:r>
          </w:p>
        </w:tc>
      </w:tr>
      <w:tr>
        <w:tc>
          <w:tcPr/>
          <w:p>
            <w:pPr>
              <w:pStyle w:val="Compact"/>
              <w:jc w:val="left"/>
            </w:pPr>
            <w:r>
              <w:t xml:space="preserve">Contact Person</w:t>
            </w:r>
          </w:p>
        </w:tc>
        <w:tc>
          <w:tcPr/>
          <w:p>
            <w:pPr>
              <w:pStyle w:val="Compact"/>
              <w:jc w:val="left"/>
            </w:pPr>
            <w:r>
              <w:t xml:space="preserve">Anna M. Petrova, Head of Sales Division</w:t>
            </w:r>
          </w:p>
        </w:tc>
      </w:tr>
      <w:tr>
        <w:tc>
          <w:tcPr/>
          <w:p>
            <w:pPr>
              <w:pStyle w:val="Compact"/>
              <w:jc w:val="left"/>
            </w:pPr>
            <w:r>
              <w:t xml:space="preserve">Phone</w:t>
            </w:r>
          </w:p>
        </w:tc>
        <w:tc>
          <w:tcPr/>
          <w:p>
            <w:pPr>
              <w:pStyle w:val="Compact"/>
              <w:jc w:val="left"/>
            </w:pPr>
            <w:r>
              <w:t xml:space="preserve">+7 (812) 555-01-98</w:t>
            </w:r>
          </w:p>
        </w:tc>
      </w:tr>
      <w:tr>
        <w:tc>
          <w:tcPr/>
          <w:p>
            <w:pPr>
              <w:pStyle w:val="Compact"/>
              <w:jc w:val="left"/>
            </w:pPr>
            <w:r>
              <w:t xml:space="preserve">INN / KPP</w:t>
            </w:r>
          </w:p>
        </w:tc>
        <w:tc>
          <w:tcPr/>
          <w:p>
            <w:pPr>
              <w:pStyle w:val="Compact"/>
              <w:jc w:val="left"/>
            </w:pPr>
            <w:r>
              <w:t xml:space="preserve">7805123456 / 780501001</w:t>
            </w:r>
          </w:p>
        </w:tc>
      </w:tr>
    </w:tbl>
    <w:bookmarkEnd w:id="22"/>
    <w:bookmarkStart w:id="23" w:name="purpose-and-scope-of-purchase"/>
    <w:p>
      <w:pPr>
        <w:pStyle w:val="Heading2"/>
      </w:pPr>
      <w:r>
        <w:t xml:space="preserve">3. Purpose and Scope of Purchase</w:t>
      </w:r>
    </w:p>
    <w:p>
      <w:pPr>
        <w:pStyle w:val="FirstParagraph"/>
      </w:pPr>
      <w:r>
        <w:t xml:space="preserve">This Purchase Order is issued to procure a comprehensive set of judicial equipment, ceremonial attire, and office furnishings specifically designated for the use of a</w:t>
      </w:r>
      <w:r>
        <w:t xml:space="preserve"> </w:t>
      </w:r>
      <w:r>
        <w:rPr>
          <w:bCs/>
          <w:b/>
        </w:rPr>
        <w:t xml:space="preserve">Judge</w:t>
      </w:r>
      <w:r>
        <w:t xml:space="preserve"> </w:t>
      </w:r>
      <w:r>
        <w:t xml:space="preserve">of the Moscow District Court, Russian Federation. The items listed below are intended to ensure that the Judge is fully equipped to preside over civil, criminal, and administrative proceedings in accordance with the Federal Law of the Russian Federation "On the Status of Judges in the Russian Federation" (No. 1-FZ, dated 31 December 1996) and the internal regulations of the Moscow judicial system. All items must comply with the standards set forth by the Supreme Court of the Russian Federation and the Department of Court Administration in Moscow.</w:t>
      </w:r>
    </w:p>
    <w:bookmarkEnd w:id="23"/>
    <w:bookmarkStart w:id="24" w:name="itemized-purchase-order-details"/>
    <w:p>
      <w:pPr>
        <w:pStyle w:val="Heading2"/>
      </w:pPr>
      <w:r>
        <w:t xml:space="preserve">4. 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Judge's Ceremonial Robe (Black, with Gold Embroidery)</w:t>
            </w:r>
          </w:p>
        </w:tc>
        <w:tc>
          <w:tcPr/>
          <w:p>
            <w:pPr>
              <w:pStyle w:val="Compact"/>
              <w:jc w:val="left"/>
            </w:pPr>
            <w:r>
              <w:t xml:space="preserve">Italian wool blend, size XL, per Supreme Court of Russia specifications, with embroidered coat of arms of the Russian Federation on the left breast</w:t>
            </w:r>
          </w:p>
        </w:tc>
        <w:tc>
          <w:tcPr/>
          <w:p>
            <w:pPr>
              <w:pStyle w:val="Compact"/>
              <w:jc w:val="left"/>
            </w:pPr>
            <w:r>
              <w:t xml:space="preserve">2</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2</w:t>
            </w:r>
          </w:p>
        </w:tc>
        <w:tc>
          <w:tcPr/>
          <w:p>
            <w:pPr>
              <w:pStyle w:val="Compact"/>
              <w:jc w:val="left"/>
            </w:pPr>
            <w:r>
              <w:t xml:space="preserve">Judge's Gavel (Walnut Wood with Brass Fitting)</w:t>
            </w:r>
          </w:p>
        </w:tc>
        <w:tc>
          <w:tcPr/>
          <w:p>
            <w:pPr>
              <w:pStyle w:val="Compact"/>
              <w:jc w:val="left"/>
            </w:pPr>
            <w:r>
              <w:t xml:space="preserve">Handcrafted, 22 cm length, engraved with the seal of the Moscow District Court, includes leather-wrapped handle</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3</w:t>
            </w:r>
          </w:p>
        </w:tc>
        <w:tc>
          <w:tcPr/>
          <w:p>
            <w:pPr>
              <w:pStyle w:val="Compact"/>
              <w:jc w:val="left"/>
            </w:pPr>
            <w:r>
              <w:t xml:space="preserve">Judge's Bench (Executive Wood Paneling)</w:t>
            </w:r>
          </w:p>
        </w:tc>
        <w:tc>
          <w:tcPr/>
          <w:p>
            <w:pPr>
              <w:pStyle w:val="Compact"/>
              <w:jc w:val="left"/>
            </w:pPr>
            <w:r>
              <w:t xml:space="preserve">Oak and walnut veneer, 180 cm width, integrated document tray, built-in microphone and LED lighting, ergonomic design per Russian judicial standards</w:t>
            </w:r>
          </w:p>
        </w:tc>
        <w:tc>
          <w:tcPr/>
          <w:p>
            <w:pPr>
              <w:pStyle w:val="Compact"/>
              <w:jc w:val="left"/>
            </w:pPr>
            <w:r>
              <w:t xml:space="preserve">1</w:t>
            </w:r>
          </w:p>
        </w:tc>
        <w:tc>
          <w:tcPr/>
          <w:p>
            <w:pPr>
              <w:pStyle w:val="Compact"/>
              <w:jc w:val="left"/>
            </w:pPr>
            <w:r>
              <w:t xml:space="preserve">385,000.00</w:t>
            </w:r>
          </w:p>
        </w:tc>
        <w:tc>
          <w:tcPr/>
          <w:p>
            <w:pPr>
              <w:pStyle w:val="Compact"/>
              <w:jc w:val="left"/>
            </w:pPr>
            <w:r>
              <w:t xml:space="preserve">385,000.00</w:t>
            </w:r>
          </w:p>
        </w:tc>
      </w:tr>
      <w:tr>
        <w:tc>
          <w:tcPr/>
          <w:p>
            <w:pPr>
              <w:pStyle w:val="Compact"/>
              <w:jc w:val="left"/>
            </w:pPr>
            <w:r>
              <w:t xml:space="preserve">4</w:t>
            </w:r>
          </w:p>
        </w:tc>
        <w:tc>
          <w:tcPr/>
          <w:p>
            <w:pPr>
              <w:pStyle w:val="Compact"/>
              <w:jc w:val="left"/>
            </w:pPr>
            <w:r>
              <w:t xml:space="preserve">Judge's Official Seal and Stamp Set</w:t>
            </w:r>
          </w:p>
        </w:tc>
        <w:tc>
          <w:tcPr/>
          <w:p>
            <w:pPr>
              <w:pStyle w:val="Compact"/>
              <w:jc w:val="left"/>
            </w:pPr>
            <w:r>
              <w:t xml:space="preserve">Brass seal with the double-headed eagle emblem of the Russian Federation, includes ink pad, stamp pad, and protective case</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5</w:t>
            </w:r>
          </w:p>
        </w:tc>
        <w:tc>
          <w:tcPr/>
          <w:p>
            <w:pPr>
              <w:pStyle w:val="Compact"/>
              <w:jc w:val="left"/>
            </w:pPr>
            <w:r>
              <w:t xml:space="preserve">Judge's Office Chair (Executive Leather)</w:t>
            </w:r>
          </w:p>
        </w:tc>
        <w:tc>
          <w:tcPr/>
          <w:p>
            <w:pPr>
              <w:pStyle w:val="Compact"/>
              <w:jc w:val="left"/>
            </w:pPr>
            <w:r>
              <w:t xml:space="preserve">Full-grain black leather, adjustable lumbar support, 360-degree rotation, gas-lift mechanism, rated for 150 kg</w:t>
            </w:r>
          </w:p>
        </w:tc>
        <w:tc>
          <w:tcPr/>
          <w:p>
            <w:pPr>
              <w:pStyle w:val="Compact"/>
              <w:jc w:val="left"/>
            </w:pPr>
            <w:r>
              <w:t xml:space="preserve">1</w:t>
            </w:r>
          </w:p>
        </w:tc>
        <w:tc>
          <w:tcPr/>
          <w:p>
            <w:pPr>
              <w:pStyle w:val="Compact"/>
              <w:jc w:val="left"/>
            </w:pPr>
            <w:r>
              <w:t xml:space="preserve">67,400.00</w:t>
            </w:r>
          </w:p>
        </w:tc>
        <w:tc>
          <w:tcPr/>
          <w:p>
            <w:pPr>
              <w:pStyle w:val="Compact"/>
              <w:jc w:val="left"/>
            </w:pPr>
            <w:r>
              <w:t xml:space="preserve">67,400.00</w:t>
            </w:r>
          </w:p>
        </w:tc>
      </w:tr>
      <w:tr>
        <w:tc>
          <w:tcPr/>
          <w:p>
            <w:pPr>
              <w:pStyle w:val="Compact"/>
              <w:jc w:val="left"/>
            </w:pPr>
            <w:r>
              <w:t xml:space="preserve">6</w:t>
            </w:r>
          </w:p>
        </w:tc>
        <w:tc>
          <w:tcPr/>
          <w:p>
            <w:pPr>
              <w:pStyle w:val="Compact"/>
              <w:jc w:val="left"/>
            </w:pPr>
            <w:r>
              <w:t xml:space="preserve">Judge's Desk Lamp and Document Illumination Kit</w:t>
            </w:r>
          </w:p>
        </w:tc>
        <w:tc>
          <w:tcPr/>
          <w:p>
            <w:pPr>
              <w:pStyle w:val="Compact"/>
              <w:jc w:val="left"/>
            </w:pPr>
            <w:r>
              <w:t xml:space="preserve">LED, 4000K color temperature, adjustable arm, includes magnifying glass and document holder</w:t>
            </w:r>
          </w:p>
        </w:tc>
        <w:tc>
          <w:tcPr/>
          <w:p>
            <w:pPr>
              <w:pStyle w:val="Compact"/>
              <w:jc w:val="left"/>
            </w:pPr>
            <w:r>
              <w:t xml:space="preserve">1</w:t>
            </w:r>
          </w:p>
        </w:tc>
        <w:tc>
          <w:tcPr/>
          <w:p>
            <w:pPr>
              <w:pStyle w:val="Compact"/>
              <w:jc w:val="left"/>
            </w:pPr>
            <w:r>
              <w:t xml:space="preserve">14,600.00</w:t>
            </w:r>
          </w:p>
        </w:tc>
        <w:tc>
          <w:tcPr/>
          <w:p>
            <w:pPr>
              <w:pStyle w:val="Compact"/>
              <w:jc w:val="left"/>
            </w:pPr>
            <w:r>
              <w:t xml:space="preserve">14,600.00</w:t>
            </w:r>
          </w:p>
        </w:tc>
      </w:tr>
      <w:tr>
        <w:tc>
          <w:tcPr/>
          <w:p>
            <w:pPr>
              <w:pStyle w:val="Compact"/>
              <w:jc w:val="left"/>
            </w:pPr>
            <w:r>
              <w:t xml:space="preserve">7</w:t>
            </w:r>
          </w:p>
        </w:tc>
        <w:tc>
          <w:tcPr/>
          <w:p>
            <w:pPr>
              <w:pStyle w:val="Compact"/>
              <w:jc w:val="left"/>
            </w:pPr>
            <w:r>
              <w:t xml:space="preserve">Judge's Briefcase (Diplomatic Grade)</w:t>
            </w:r>
          </w:p>
        </w:tc>
        <w:tc>
          <w:tcPr/>
          <w:p>
            <w:pPr>
              <w:pStyle w:val="Compact"/>
              <w:jc w:val="left"/>
            </w:pPr>
            <w:r>
              <w:t xml:space="preserve">Full-grain leather, fire-resistant lining, TSA-compatible lock, 45x32x12 cm, includes document organizer inserts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8</w:t>
            </w:r>
          </w:p>
        </w:tc>
        <w:tc>
          <w:tcPr/>
          <w:p>
            <w:pPr>
              <w:pStyle w:val="Compact"/>
              <w:jc w:val="left"/>
            </w:pPr>
            <w:r>
              <w:t xml:space="preserve">Judge's Nameplate (Brass, Engraved)</w:t>
            </w:r>
          </w:p>
        </w:tc>
        <w:tc>
          <w:tcPr/>
          <w:p>
            <w:pPr>
              <w:pStyle w:val="Compact"/>
              <w:jc w:val="left"/>
            </w:pPr>
            <w:r>
              <w:t xml:space="preserve">Polished brass, 30x10 cm, engraved with the Judge's full name and title in Cyrillic, for placement on the Judge's bench in the Moscow courtroom</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9</w:t>
            </w:r>
          </w:p>
        </w:tc>
        <w:tc>
          <w:tcPr/>
          <w:p>
            <w:pPr>
              <w:pStyle w:val="Compact"/>
              <w:jc w:val="left"/>
            </w:pPr>
            <w:r>
              <w:t xml:space="preserve">Judge's Ceremonial Cufflinks and Tie Set</w:t>
            </w:r>
          </w:p>
        </w:tc>
        <w:tc>
          <w:tcPr/>
          <w:p>
            <w:pPr>
              <w:pStyle w:val="Compact"/>
              <w:jc w:val="left"/>
            </w:pPr>
            <w:r>
              <w:t xml:space="preserve">Sterling silver cufflinks with judicial emblem, silk tie in navy with gold pinstripes, per Moscow court dress code</w:t>
            </w:r>
          </w:p>
        </w:tc>
        <w:tc>
          <w:tcPr/>
          <w:p>
            <w:pPr>
              <w:pStyle w:val="Compact"/>
              <w:jc w:val="left"/>
            </w:pPr>
            <w:r>
              <w:t xml:space="preserve">1</w:t>
            </w:r>
          </w:p>
        </w:tc>
        <w:tc>
          <w:tcPr/>
          <w:p>
            <w:pPr>
              <w:pStyle w:val="Compact"/>
              <w:jc w:val="left"/>
            </w:pPr>
            <w:r>
              <w:t xml:space="preserve">18,900.00</w:t>
            </w:r>
          </w:p>
        </w:tc>
        <w:tc>
          <w:tcPr/>
          <w:p>
            <w:pPr>
              <w:pStyle w:val="Compact"/>
              <w:jc w:val="left"/>
            </w:pPr>
            <w:r>
              <w:t xml:space="preserve">18,900.00</w:t>
            </w:r>
          </w:p>
        </w:tc>
      </w:tr>
      <w:tr>
        <w:tc>
          <w:tcPr/>
          <w:p>
            <w:pPr>
              <w:pStyle w:val="Compact"/>
              <w:jc w:val="left"/>
            </w:pPr>
            <w:r>
              <w:t xml:space="preserve">10</w:t>
            </w:r>
          </w:p>
        </w:tc>
        <w:tc>
          <w:tcPr/>
          <w:p>
            <w:pPr>
              <w:pStyle w:val="Compact"/>
              <w:jc w:val="left"/>
            </w:pPr>
            <w:r>
              <w:t xml:space="preserve">Judge's Official Stationery Set (Letterhead, Envelopes, Notepads)</w:t>
            </w:r>
          </w:p>
        </w:tc>
        <w:tc>
          <w:tcPr/>
          <w:p>
            <w:pPr>
              <w:pStyle w:val="Compact"/>
              <w:jc w:val="left"/>
            </w:pPr>
            <w:r>
              <w:t xml:space="preserve">250 gsm cotton paper, printed with the Moscow District Court letterhead, 500 A4 sheets, 100 DL envelopes, 5 notepads</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gridSpan w:val="5"/>
          </w:tcPr>
          <w:p>
            <w:pPr>
              <w:pStyle w:val="Compact"/>
              <w:jc w:val="right"/>
            </w:pPr>
            <w:r>
              <w:t xml:space="preserve">TOTAL AMOUNT DUE:</w:t>
            </w:r>
          </w:p>
        </w:tc>
        <w:tc>
          <w:tcPr/>
          <w:p>
            <w:pPr>
              <w:pStyle w:val="Compact"/>
              <w:jc w:val="left"/>
            </w:pPr>
            <w:r>
              <w:t xml:space="preserve">653,200.00 RUB</w:t>
            </w:r>
          </w:p>
        </w:tc>
      </w:tr>
      <w:tr>
        <w:tc>
          <w:tcPr>
            <w:gridSpan w:val="5"/>
          </w:tcPr>
          <w:p>
            <w:pPr>
              <w:pStyle w:val="Compact"/>
              <w:jc w:val="right"/>
            </w:pPr>
            <w:r>
              <w:t xml:space="preserve">VAT (20%):</w:t>
            </w:r>
          </w:p>
        </w:tc>
        <w:tc>
          <w:tcPr/>
          <w:p>
            <w:pPr>
              <w:pStyle w:val="Compact"/>
              <w:jc w:val="left"/>
            </w:pPr>
            <w:r>
              <w:t xml:space="preserve">108,866.67 RUB</w:t>
            </w:r>
          </w:p>
        </w:tc>
      </w:tr>
      <w:tr>
        <w:tc>
          <w:tcPr>
            <w:gridSpan w:val="5"/>
          </w:tcPr>
          <w:p>
            <w:pPr>
              <w:pStyle w:val="Compact"/>
              <w:jc w:val="right"/>
            </w:pPr>
            <w:r>
              <w:t xml:space="preserve">GRAND TOTAL:</w:t>
            </w:r>
          </w:p>
        </w:tc>
        <w:tc>
          <w:tcPr/>
          <w:p>
            <w:pPr>
              <w:pStyle w:val="Compact"/>
              <w:jc w:val="left"/>
            </w:pPr>
            <w:r>
              <w:t xml:space="preserve">762,066.67 RUB</w:t>
            </w:r>
          </w:p>
        </w:tc>
      </w:tr>
    </w:tbl>
    <w:bookmarkEnd w:id="24"/>
    <w:bookmarkStart w:id="25" w:name="delivery-terms-and-location"/>
    <w:p>
      <w:pPr>
        <w:pStyle w:val="Heading2"/>
      </w:pPr>
      <w:r>
        <w:t xml:space="preserve">5. Delivery Terms and Location</w:t>
      </w:r>
    </w:p>
    <w:p>
      <w:pPr>
        <w:pStyle w:val="FirstParagraph"/>
      </w:pPr>
      <w:r>
        <w:t xml:space="preserve">All items under this Purchase Order shall be delivered to the Moscow District Court premises located at 12 Presnenskaya Embankment, Moscow, 123112, Russia. The delivery must be completed no later than</w:t>
      </w:r>
      <w:r>
        <w:t xml:space="preserve"> </w:t>
      </w:r>
      <w:r>
        <w:rPr>
          <w:bCs/>
          <w:b/>
        </w:rPr>
        <w:t xml:space="preserve">30 July 2025</w:t>
      </w:r>
      <w:r>
        <w:t xml:space="preserve">. The supplier is responsible for all transportation, insurance, and handling costs within the territory of Russia. Delivery to the Moscow facility shall be made between 09:00 and 16:00 Moscow Standard Time (MSK, UTC+3) on a business day. The supplier must provide a written delivery confirmation signed by the receiving officer of the Moscow District Court. Any damage or discrepancy upon delivery must be reported within 48 hours of receipt.</w:t>
      </w:r>
    </w:p>
    <w:bookmarkEnd w:id="25"/>
    <w:bookmarkStart w:id="26" w:name="payment-terms"/>
    <w:p>
      <w:pPr>
        <w:pStyle w:val="Heading2"/>
      </w:pPr>
      <w:r>
        <w:t xml:space="preserve">6. Payment Terms</w:t>
      </w:r>
    </w:p>
    <w:p>
      <w:pPr>
        <w:pStyle w:val="FirstParagraph"/>
      </w:pPr>
      <w:r>
        <w:t xml:space="preserve">Payment for this Purchase Order shall be made in Russian Rubles (RUB) via bank transfer to the supplier's designated account. A 50% advance payment (381,033.34 RUB) is due within 10 business days of the signing of this Purchase Order. The remaining 50% balance (381,033.33 RUB) shall be paid within 15 business days following successful inspection, acceptance, and written confirmation of all delivered items by the authorized representative of the Moscow District Court. Late payments shall incur a penalty of 0.1% per calendar day of delay, in accordance with Article 317.1 of the Civil Code of the Russian Federation.</w:t>
      </w:r>
    </w:p>
    <w:bookmarkEnd w:id="26"/>
    <w:bookmarkStart w:id="27" w:name="terms-and-conditions"/>
    <w:p>
      <w:pPr>
        <w:pStyle w:val="Heading2"/>
      </w:pPr>
      <w:r>
        <w:t xml:space="preserve">7. Terms and Conditions</w:t>
      </w:r>
    </w:p>
    <w:p>
      <w:pPr>
        <w:numPr>
          <w:ilvl w:val="0"/>
          <w:numId w:val="1001"/>
        </w:numPr>
        <w:pStyle w:val="Compact"/>
      </w:pPr>
      <w:r>
        <w:t xml:space="preserve">This Purchase Order is governed by the Civil Code of the Russian Federation and applicable federal procurement legislation (Federal Law No. 44-FZ "On the Contract System in the Sphere of Procurement of Goods, Works, and Services for State and Municipal Needs").</w:t>
      </w:r>
    </w:p>
    <w:p>
      <w:pPr>
        <w:numPr>
          <w:ilvl w:val="0"/>
          <w:numId w:val="1001"/>
        </w:numPr>
        <w:pStyle w:val="Compact"/>
      </w:pPr>
      <w:r>
        <w:t xml:space="preserve">All items must be new, unused, and in full compliance with the specifications stated in Section 4. The Judge's ceremonial robe must bear the official insignia of the Russian Federation as prescribed by the Supreme Court.</w:t>
      </w:r>
    </w:p>
    <w:p>
      <w:pPr>
        <w:numPr>
          <w:ilvl w:val="0"/>
          <w:numId w:val="1001"/>
        </w:numPr>
        <w:pStyle w:val="Compact"/>
      </w:pPr>
      <w:r>
        <w:t xml:space="preserve">The supplier warrants that all goods are free from defects in materials and workmanship for a period of no less than 24 months from the date of delivery in Moscow.</w:t>
      </w:r>
    </w:p>
    <w:p>
      <w:pPr>
        <w:numPr>
          <w:ilvl w:val="0"/>
          <w:numId w:val="1001"/>
        </w:numPr>
        <w:pStyle w:val="Compact"/>
      </w:pPr>
      <w:r>
        <w:t xml:space="preserve">The supplier shall provide a full warranty certificate, quality documentation, and compliance certificates for each item, particularly for the Judge's bench and gavel, which must meet the safety and durability standards of the Russian Federation.</w:t>
      </w:r>
    </w:p>
    <w:p>
      <w:pPr>
        <w:numPr>
          <w:ilvl w:val="0"/>
          <w:numId w:val="1001"/>
        </w:numPr>
        <w:pStyle w:val="Compact"/>
      </w:pPr>
      <w:r>
        <w:t xml:space="preserve">Any modification to this Purchase Order must be made in writing and signed by both parties. Verbal agreements are not binding.</w:t>
      </w:r>
    </w:p>
    <w:p>
      <w:pPr>
        <w:numPr>
          <w:ilvl w:val="0"/>
          <w:numId w:val="1001"/>
        </w:numPr>
        <w:pStyle w:val="Compact"/>
      </w:pPr>
      <w:r>
        <w:t xml:space="preserve">In the event of a dispute, the parties agree to resolve matters through negotiation first, followed by arbitration before the Arbitration Court of the City of Moscow, Russia.</w:t>
      </w:r>
    </w:p>
    <w:p>
      <w:pPr>
        <w:numPr>
          <w:ilvl w:val="0"/>
          <w:numId w:val="1001"/>
        </w:numPr>
        <w:pStyle w:val="Compact"/>
      </w:pPr>
      <w:r>
        <w:t xml:space="preserve">The supplier shall not subcontract any portion of this Purchase Order without prior written consent from the Buyer.</w:t>
      </w:r>
    </w:p>
    <w:p>
      <w:pPr>
        <w:numPr>
          <w:ilvl w:val="0"/>
          <w:numId w:val="1001"/>
        </w:numPr>
        <w:pStyle w:val="Compact"/>
      </w:pPr>
      <w:r>
        <w:t xml:space="preserve">All personal data processed in connection with this Purchase Order shall be handled in accordance with Federal Law No. 152-FZ "On Personal Data" of the Russian Federation.</w:t>
      </w:r>
    </w:p>
    <w:p>
      <w:pPr>
        <w:numPr>
          <w:ilvl w:val="0"/>
          <w:numId w:val="1001"/>
        </w:numPr>
        <w:pStyle w:val="Compact"/>
      </w:pPr>
      <w:r>
        <w:t xml:space="preserve">This Purchase Order becomes effective upon signature by both authorized representatives and remains valid until full performance of all obligations by both parties.</w:t>
      </w:r>
    </w:p>
    <w:bookmarkEnd w:id="27"/>
    <w:bookmarkStart w:id="28" w:name="authorization-and-signatures"/>
    <w:p>
      <w:pPr>
        <w:pStyle w:val="Heading2"/>
      </w:pPr>
      <w:r>
        <w:t xml:space="preserve">8. Authorization and Signatures</w:t>
      </w:r>
    </w:p>
    <w:p>
      <w:pPr>
        <w:pStyle w:val="FirstParagraph"/>
      </w:pPr>
      <w:r>
        <w:rPr>
          <w:bCs/>
          <w:b/>
        </w:rPr>
        <w:t xml:space="preserve">For the Buyer:</w:t>
      </w:r>
    </w:p>
    <w:p>
      <w:pPr>
        <w:pStyle w:val="BodyText"/>
      </w:pPr>
      <w:r>
        <w:t xml:space="preserve">Supreme Judicial Procurement Authority</w:t>
      </w:r>
      <w:r>
        <w:br/>
      </w:r>
      <w:r>
        <w:t xml:space="preserve">Moscow District Court, Russia</w:t>
      </w:r>
    </w:p>
    <w:p>
      <w:pPr>
        <w:pStyle w:val="BodyText"/>
      </w:pPr>
      <w:r>
        <w:t xml:space="preserve">Hon. Viktor A. Sokolov</w:t>
      </w:r>
      <w:r>
        <w:br/>
      </w:r>
      <w:r>
        <w:t xml:space="preserve">Chief Administrative Officer</w:t>
      </w:r>
      <w:r>
        <w:br/>
      </w:r>
      <w:r>
        <w:t xml:space="preserve">Signature: _________________________</w:t>
      </w:r>
      <w:r>
        <w:br/>
      </w:r>
      <w:r>
        <w:t xml:space="preserve">Date: _________________________</w:t>
      </w:r>
      <w:r>
        <w:br/>
      </w:r>
      <w:r>
        <w:t xml:space="preserve">Official Seal:</w:t>
      </w:r>
    </w:p>
    <w:p>
      <w:pPr>
        <w:pStyle w:val="BodyText"/>
      </w:pPr>
      <w:r>
        <w:rPr>
          <w:bCs/>
          <w:b/>
        </w:rPr>
        <w:t xml:space="preserve">For the Supplier:</w:t>
      </w:r>
    </w:p>
    <w:p>
      <w:pPr>
        <w:pStyle w:val="BodyText"/>
      </w:pPr>
      <w:r>
        <w:t xml:space="preserve">OOO "Sudebnye Predmety"</w:t>
      </w:r>
      <w:r>
        <w:br/>
      </w:r>
      <w:r>
        <w:t xml:space="preserve">St. Petersburg, Russia</w:t>
      </w:r>
    </w:p>
    <w:p>
      <w:pPr>
        <w:pStyle w:val="BodyText"/>
      </w:pPr>
      <w:r>
        <w:t xml:space="preserve">Anna M. Petrova</w:t>
      </w:r>
      <w:r>
        <w:br/>
      </w:r>
      <w:r>
        <w:t xml:space="preserve">Head of Sales Division</w:t>
      </w:r>
      <w:r>
        <w:br/>
      </w:r>
      <w:r>
        <w:t xml:space="preserve">Signature: _________________________</w:t>
      </w:r>
      <w:r>
        <w:br/>
      </w:r>
      <w:r>
        <w:t xml:space="preserve">Date: _________________________</w:t>
      </w:r>
      <w:r>
        <w:br/>
      </w:r>
      <w:r>
        <w:t xml:space="preserve">Company Seal:</w:t>
      </w:r>
    </w:p>
    <w:bookmarkEnd w:id="28"/>
    <w:p>
      <w:pPr>
        <w:pStyle w:val="BodyText"/>
      </w:pPr>
      <w:r>
        <w:t xml:space="preserve">This Purchase Order document (PO-RU-MSC-2025-04871) was generated by the Supreme Judicial Procurement Authority of the Russian Federation for the exclusive use of the Moscow District Court. Unauthorized reproduction or distribution is prohibited under Russian federal law. All references to the Judge, judicial equipment, and the Moscow jurisdiction are made in accordance with the Federal Law "On the Status of Judges in the Russian Federation." Document reference: Russia Moscow Judicial Procurement Registry, Entry No. 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Equipment for Judge - Russia Moscow</dc:title>
  <dc:creator/>
  <dc:language>en</dc:language>
  <cp:keywords/>
  <dcterms:created xsi:type="dcterms:W3CDTF">2026-10-10T07:01:14Z</dcterms:created>
  <dcterms:modified xsi:type="dcterms:W3CDTF">2026-10-10T07:01:14Z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