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Judicial</w:t>
      </w:r>
      <w:r>
        <w:t xml:space="preserve"> </w:t>
      </w:r>
      <w:r>
        <w:t xml:space="preserve">Supplies</w:t>
      </w:r>
      <w:r>
        <w:t xml:space="preserve"> </w:t>
      </w:r>
      <w:r>
        <w:t xml:space="preserve">-</w:t>
      </w:r>
      <w:r>
        <w:t xml:space="preserve"> </w:t>
      </w:r>
      <w:r>
        <w:t xml:space="preserve">Saint</w:t>
      </w:r>
      <w:r>
        <w:t xml:space="preserve"> </w:t>
      </w:r>
      <w:r>
        <w:t xml:space="preserve">Petersburg,</w:t>
      </w:r>
      <w:r>
        <w:t xml:space="preserve"> </w:t>
      </w:r>
      <w:r>
        <w:t xml:space="preserve">Russia</w:t>
      </w:r>
    </w:p>
    <w:bookmarkStart w:id="21" w:name="purchase-order"/>
    <w:p>
      <w:pPr>
        <w:pStyle w:val="Heading1"/>
      </w:pPr>
      <w:r>
        <w:t xml:space="preserve">PURCHASE ORDER</w:t>
      </w:r>
    </w:p>
    <w:bookmarkStart w:id="20" w:name="X18ec5337886375d6ee10d085856b06ef54a6f38"/>
    <w:p>
      <w:pPr>
        <w:pStyle w:val="Heading2"/>
      </w:pPr>
      <w:r>
        <w:t xml:space="preserve">Judicial Supplies for the Court of Justice — Saint Petersburg, Russia</w:t>
      </w:r>
    </w:p>
    <w:p>
      <w:pPr>
        <w:pStyle w:val="FirstParagraph"/>
      </w:pPr>
      <w:r>
        <w:t xml:space="preserve">Issued by: The Committee for Judicial Administration, Saint Petersburg, Russian Federation</w:t>
      </w:r>
      <w:r>
        <w:br/>
      </w:r>
      <w:r>
        <w:t xml:space="preserve">Document Reference: PO-SPB-JDG-2025-0472</w:t>
      </w:r>
    </w:p>
    <w:bookmarkEnd w:id="20"/>
    <w:bookmarkEnd w:id="21"/>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Number:</w:t>
            </w:r>
          </w:p>
        </w:tc>
        <w:tc>
          <w:tcPr/>
          <w:p>
            <w:pPr>
              <w:pStyle w:val="Compact"/>
              <w:jc w:val="left"/>
            </w:pPr>
            <w:r>
              <w:t xml:space="preserve">PO-SPB-JDG-2025-0472</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Buyer (Purchasing Authority):</w:t>
            </w:r>
          </w:p>
        </w:tc>
        <w:tc>
          <w:tcPr/>
          <w:p>
            <w:pPr>
              <w:pStyle w:val="Compact"/>
              <w:jc w:val="left"/>
            </w:pPr>
            <w:r>
              <w:t xml:space="preserve">Committee for Judicial Administration, 12 Voznesensky Prospekt, Saint Petersburg, 191011, Russian Federation</w:t>
            </w:r>
          </w:p>
        </w:tc>
        <w:tc>
          <w:tcPr/>
          <w:p>
            <w:pPr>
              <w:pStyle w:val="Compact"/>
              <w:jc w:val="left"/>
            </w:pPr>
            <w:r>
              <w:t xml:space="preserve">Contact Person:</w:t>
            </w:r>
          </w:p>
        </w:tc>
        <w:tc>
          <w:tcPr/>
          <w:p>
            <w:pPr>
              <w:pStyle w:val="Compact"/>
              <w:jc w:val="left"/>
            </w:pPr>
            <w:r>
              <w:t xml:space="preserve">Dr. Elena V. Sokolova, Procurement Director</w:t>
            </w:r>
          </w:p>
        </w:tc>
      </w:tr>
      <w:tr>
        <w:tc>
          <w:tcPr/>
          <w:p>
            <w:pPr>
              <w:pStyle w:val="Compact"/>
              <w:jc w:val="left"/>
            </w:pPr>
            <w:r>
              <w:t xml:space="preserve">Supplier (Vendor):</w:t>
            </w:r>
          </w:p>
        </w:tc>
        <w:tc>
          <w:tcPr/>
          <w:p>
            <w:pPr>
              <w:pStyle w:val="Compact"/>
              <w:jc w:val="left"/>
            </w:pPr>
            <w:r>
              <w:t xml:space="preserve">Imperial Court Furnishings LLC, 45 Nevsky Prospekt, Saint Petersburg, 191025, Russian Federation</w:t>
            </w:r>
          </w:p>
        </w:tc>
        <w:tc>
          <w:tcPr/>
          <w:p>
            <w:pPr>
              <w:pStyle w:val="Compact"/>
              <w:jc w:val="left"/>
            </w:pPr>
            <w:r>
              <w:t xml:space="preserve">Supplier Contact:</w:t>
            </w:r>
          </w:p>
        </w:tc>
        <w:tc>
          <w:tcPr/>
          <w:p>
            <w:pPr>
              <w:pStyle w:val="Compact"/>
              <w:jc w:val="left"/>
            </w:pPr>
            <w:r>
              <w:t xml:space="preserve">Mr. Dmitry A. Volkov, Sales Manager</w:t>
            </w:r>
          </w:p>
        </w:tc>
      </w:tr>
      <w:tr>
        <w:tc>
          <w:tcPr/>
          <w:p>
            <w:pPr>
              <w:pStyle w:val="Compact"/>
              <w:jc w:val="left"/>
            </w:pPr>
            <w:r>
              <w:t xml:space="preserve">Delivery Address:</w:t>
            </w:r>
          </w:p>
        </w:tc>
        <w:tc>
          <w:tcPr/>
          <w:p>
            <w:pPr>
              <w:pStyle w:val="Compact"/>
              <w:jc w:val="left"/>
            </w:pPr>
            <w:r>
              <w:t xml:space="preserve">Supreme Court of Saint Petersburg, 10 Liteyny Avenue, Saint Petersburg, 191024, Russian Federation</w:t>
            </w:r>
          </w:p>
        </w:tc>
        <w:tc>
          <w:tcPr/>
          <w:p>
            <w:pPr>
              <w:pStyle w:val="Compact"/>
              <w:jc w:val="left"/>
            </w:pPr>
            <w:r>
              <w:t xml:space="preserve">Required Delivery Date:</w:t>
            </w:r>
          </w:p>
        </w:tc>
        <w:tc>
          <w:tcPr/>
          <w:p>
            <w:pPr>
              <w:pStyle w:val="Compact"/>
              <w:jc w:val="left"/>
            </w:pPr>
            <w:r>
              <w:t xml:space="preserve">30 July 2025</w:t>
            </w:r>
          </w:p>
        </w:tc>
      </w:tr>
      <w:tr>
        <w:tc>
          <w:tcPr/>
          <w:p>
            <w:pPr>
              <w:pStyle w:val="Compact"/>
              <w:jc w:val="left"/>
            </w:pPr>
            <w:r>
              <w:t xml:space="preserve">Payment Terms:</w:t>
            </w:r>
          </w:p>
        </w:tc>
        <w:tc>
          <w:tcPr/>
          <w:p>
            <w:pPr>
              <w:pStyle w:val="Compact"/>
              <w:jc w:val="left"/>
            </w:pPr>
            <w:r>
              <w:t xml:space="preserve">Net 45 days from date of invoice, transfer via Sberbank, Account No. 40702810000000012345</w:t>
            </w:r>
          </w:p>
        </w:tc>
        <w:tc>
          <w:tcPr/>
          <w:p>
            <w:pPr>
              <w:pStyle w:val="Compact"/>
              <w:jc w:val="left"/>
            </w:pPr>
            <w:r>
              <w:t xml:space="preserve">Currency:</w:t>
            </w:r>
          </w:p>
        </w:tc>
        <w:tc>
          <w:tcPr/>
          <w:p>
            <w:pPr>
              <w:pStyle w:val="Compact"/>
              <w:jc w:val="left"/>
            </w:pPr>
            <w:r>
              <w:t xml:space="preserve">Russian Ruble (RUB)</w:t>
            </w:r>
          </w:p>
        </w:tc>
      </w:tr>
    </w:tbl>
    <w:p>
      <w:pPr>
        <w:pStyle w:val="BodyText"/>
      </w:pPr>
      <w:r>
        <w:t xml:space="preserve">1. Purpose and Scope of This Purchase Order</w:t>
      </w:r>
    </w:p>
    <w:p>
      <w:pPr>
        <w:pStyle w:val="BodyText"/>
      </w:pPr>
      <w:r>
        <w:t xml:space="preserve">This Purchase Order is issued by the Committee for Judicial Administration of Saint Petersburg, Russian Federation, to procure a comprehensive set of judicial regalia, furniture, and ceremonial equipment specifically designated for the use of the Honorable Judge presiding over the Civil Division of the Supreme Court of Saint Petersburg. The items listed herein are intended to ensure that the Judge is provided with all necessary materials, attire, and furnishings in accordance with the Federal Law of the Russian Federation on the Judicial System and the internal regulations governing the appearance and dignity of the courtroom. This Purchase Order constitutes a binding procurement document and shall be executed in full compliance with Federal Law No. 44-FZ on the Contract System in the Sphere of Procurement of Goods, Works, and Services for State and Municipal Needs.</w:t>
      </w:r>
    </w:p>
    <w:p>
      <w:pPr>
        <w:pStyle w:val="BodyText"/>
      </w:pPr>
      <w:r>
        <w:t xml:space="preserve">2. Line Items — Judge's Judicial Supplies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w:t>
            </w:r>
          </w:p>
        </w:tc>
        <w:tc>
          <w:tcPr/>
          <w:p>
            <w:pPr>
              <w:pStyle w:val="Compact"/>
              <w:jc w:val="left"/>
            </w:pPr>
            <w:r>
              <w:t xml:space="preserve">Qty</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01</w:t>
            </w:r>
          </w:p>
        </w:tc>
        <w:tc>
          <w:tcPr/>
          <w:p>
            <w:pPr>
              <w:pStyle w:val="Compact"/>
              <w:jc w:val="left"/>
            </w:pPr>
            <w:r>
              <w:t xml:space="preserve">Judge's Ceremonial Robe (Mantle)</w:t>
            </w:r>
          </w:p>
        </w:tc>
        <w:tc>
          <w:tcPr/>
          <w:p>
            <w:pPr>
              <w:pStyle w:val="Compact"/>
              <w:jc w:val="left"/>
            </w:pPr>
            <w:r>
              <w:t xml:space="preserve">Black wool-silk blend, gold-thread embroidery on collar and cuffs, tailored to fit, per Russian judicial dress code</w:t>
            </w:r>
          </w:p>
        </w:tc>
        <w:tc>
          <w:tcPr/>
          <w:p>
            <w:pPr>
              <w:pStyle w:val="Compact"/>
              <w:jc w:val="left"/>
            </w:pPr>
            <w:r>
              <w:t xml:space="preserve">2</w:t>
            </w:r>
          </w:p>
        </w:tc>
        <w:tc>
          <w:tcPr/>
          <w:p>
            <w:pPr>
              <w:pStyle w:val="Compact"/>
              <w:jc w:val="left"/>
            </w:pPr>
            <w:r>
              <w:t xml:space="preserve">85,000.00</w:t>
            </w:r>
          </w:p>
        </w:tc>
        <w:tc>
          <w:tcPr/>
          <w:p>
            <w:pPr>
              <w:pStyle w:val="Compact"/>
              <w:jc w:val="left"/>
            </w:pPr>
            <w:r>
              <w:t xml:space="preserve">170,000.00</w:t>
            </w:r>
          </w:p>
        </w:tc>
      </w:tr>
      <w:tr>
        <w:tc>
          <w:tcPr/>
          <w:p>
            <w:pPr>
              <w:pStyle w:val="Compact"/>
              <w:jc w:val="left"/>
            </w:pPr>
            <w:r>
              <w:t xml:space="preserve">02</w:t>
            </w:r>
          </w:p>
        </w:tc>
        <w:tc>
          <w:tcPr/>
          <w:p>
            <w:pPr>
              <w:pStyle w:val="Compact"/>
              <w:jc w:val="left"/>
            </w:pPr>
            <w:r>
              <w:t xml:space="preserve">Judge's Gavel and Sound Block</w:t>
            </w:r>
          </w:p>
        </w:tc>
        <w:tc>
          <w:tcPr/>
          <w:p>
            <w:pPr>
              <w:pStyle w:val="Compact"/>
              <w:jc w:val="left"/>
            </w:pPr>
            <w:r>
              <w:t xml:space="preserve">Hand-carved walnut wood, brass ferrule, 12 cm diameter head, with engraved seal of Saint Petersburg coat of arms</w:t>
            </w:r>
          </w:p>
        </w:tc>
        <w:tc>
          <w:tcPr/>
          <w:p>
            <w:pPr>
              <w:pStyle w:val="Compact"/>
              <w:jc w:val="left"/>
            </w:pPr>
            <w:r>
              <w:t xml:space="preserve">1</w:t>
            </w:r>
          </w:p>
        </w:tc>
        <w:tc>
          <w:tcPr/>
          <w:p>
            <w:pPr>
              <w:pStyle w:val="Compact"/>
              <w:jc w:val="left"/>
            </w:pPr>
            <w:r>
              <w:t xml:space="preserve">32,500.00</w:t>
            </w:r>
          </w:p>
        </w:tc>
        <w:tc>
          <w:tcPr/>
          <w:p>
            <w:pPr>
              <w:pStyle w:val="Compact"/>
              <w:jc w:val="left"/>
            </w:pPr>
            <w:r>
              <w:t xml:space="preserve">32,500.00</w:t>
            </w:r>
          </w:p>
        </w:tc>
      </w:tr>
      <w:tr>
        <w:tc>
          <w:tcPr/>
          <w:p>
            <w:pPr>
              <w:pStyle w:val="Compact"/>
              <w:jc w:val="left"/>
            </w:pPr>
            <w:r>
              <w:t xml:space="preserve">03</w:t>
            </w:r>
          </w:p>
        </w:tc>
        <w:tc>
          <w:tcPr/>
          <w:p>
            <w:pPr>
              <w:pStyle w:val="Compact"/>
              <w:jc w:val="left"/>
            </w:pPr>
            <w:r>
              <w:t xml:space="preserve">Judge's Bench (Presiding Seat)</w:t>
            </w:r>
          </w:p>
        </w:tc>
        <w:tc>
          <w:tcPr/>
          <w:p>
            <w:pPr>
              <w:pStyle w:val="Compact"/>
              <w:jc w:val="left"/>
            </w:pPr>
            <w:r>
              <w:t xml:space="preserve">Oak-veneer paneling, leather-upholstered seat, integrated document tray, height 1.15 m, width 1.8 m, depth 0.9 m</w:t>
            </w:r>
          </w:p>
        </w:tc>
        <w:tc>
          <w:tcPr/>
          <w:p>
            <w:pPr>
              <w:pStyle w:val="Compact"/>
              <w:jc w:val="left"/>
            </w:pPr>
            <w:r>
              <w:t xml:space="preserve">1</w:t>
            </w:r>
          </w:p>
        </w:tc>
        <w:tc>
          <w:tcPr/>
          <w:p>
            <w:pPr>
              <w:pStyle w:val="Compact"/>
              <w:jc w:val="left"/>
            </w:pPr>
            <w:r>
              <w:t xml:space="preserve">245,000.00</w:t>
            </w:r>
          </w:p>
        </w:tc>
        <w:tc>
          <w:tcPr/>
          <w:p>
            <w:pPr>
              <w:pStyle w:val="Compact"/>
              <w:jc w:val="left"/>
            </w:pPr>
            <w:r>
              <w:t xml:space="preserve">245,000.00</w:t>
            </w:r>
          </w:p>
        </w:tc>
      </w:tr>
      <w:tr>
        <w:tc>
          <w:tcPr/>
          <w:p>
            <w:pPr>
              <w:pStyle w:val="Compact"/>
              <w:jc w:val="left"/>
            </w:pPr>
            <w:r>
              <w:t xml:space="preserve">04</w:t>
            </w:r>
          </w:p>
        </w:tc>
        <w:tc>
          <w:tcPr/>
          <w:p>
            <w:pPr>
              <w:pStyle w:val="Compact"/>
              <w:jc w:val="left"/>
            </w:pPr>
            <w:r>
              <w:t xml:space="preserve">Judge's Official Seal and Wax Kit</w:t>
            </w:r>
          </w:p>
        </w:tc>
        <w:tc>
          <w:tcPr/>
          <w:p>
            <w:pPr>
              <w:pStyle w:val="Compact"/>
              <w:jc w:val="left"/>
            </w:pPr>
            <w:r>
              <w:t xml:space="preserve">Brass seal die with the emblem of the Supreme Court of Saint Petersburg, 500 g beeswax sticks (red and black), sealing tongs</w:t>
            </w:r>
          </w:p>
        </w:tc>
        <w:tc>
          <w:tcPr/>
          <w:p>
            <w:pPr>
              <w:pStyle w:val="Compact"/>
              <w:jc w:val="left"/>
            </w:pPr>
            <w:r>
              <w:t xml:space="preserve">1</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05</w:t>
            </w:r>
          </w:p>
        </w:tc>
        <w:tc>
          <w:tcPr/>
          <w:p>
            <w:pPr>
              <w:pStyle w:val="Compact"/>
              <w:jc w:val="left"/>
            </w:pPr>
            <w:r>
              <w:t xml:space="preserve">Judge's Desk Lamp and Writing Set</w:t>
            </w:r>
          </w:p>
        </w:tc>
        <w:tc>
          <w:tcPr/>
          <w:p>
            <w:pPr>
              <w:pStyle w:val="Compact"/>
              <w:jc w:val="left"/>
            </w:pPr>
            <w:r>
              <w:t xml:space="preserve">Antique-style brass lamp, leather-bound ledger, fountain pen (platinum nib), blotter, and document clips</w:t>
            </w:r>
          </w:p>
        </w:tc>
        <w:tc>
          <w:tcPr/>
          <w:p>
            <w:pPr>
              <w:pStyle w:val="Compact"/>
              <w:jc w:val="left"/>
            </w:pPr>
            <w:r>
              <w:t xml:space="preserve">1</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06</w:t>
            </w:r>
          </w:p>
        </w:tc>
        <w:tc>
          <w:tcPr/>
          <w:p>
            <w:pPr>
              <w:pStyle w:val="Compact"/>
              <w:jc w:val="left"/>
            </w:pPr>
            <w:r>
              <w:t xml:space="preserve">Courtroom Flag and Stand</w:t>
            </w:r>
          </w:p>
        </w:tc>
        <w:tc>
          <w:tcPr/>
          <w:p>
            <w:pPr>
              <w:pStyle w:val="Compact"/>
              <w:jc w:val="left"/>
            </w:pPr>
            <w:r>
              <w:t xml:space="preserve">State flag of the Russian Federation, 200×120 cm, with polished steel flagpole and base, for Judge's courtroom display</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07</w:t>
            </w:r>
          </w:p>
        </w:tc>
        <w:tc>
          <w:tcPr/>
          <w:p>
            <w:pPr>
              <w:pStyle w:val="Compact"/>
              <w:jc w:val="left"/>
            </w:pPr>
            <w:r>
              <w:t xml:space="preserve">Judge's Personal Library Shelf</w:t>
            </w:r>
          </w:p>
        </w:tc>
        <w:tc>
          <w:tcPr/>
          <w:p>
            <w:pPr>
              <w:pStyle w:val="Compact"/>
              <w:jc w:val="left"/>
            </w:pPr>
            <w:r>
              <w:t xml:space="preserve">Walnut bookcase, 5-tier, 1.2 m wide, 2.0 m tall, with glass-fronted upper compartments for legal codes and precedent volumes</w:t>
            </w:r>
          </w:p>
        </w:tc>
        <w:tc>
          <w:tcPr/>
          <w:p>
            <w:pPr>
              <w:pStyle w:val="Compact"/>
              <w:jc w:val="left"/>
            </w:pPr>
            <w:r>
              <w:t xml:space="preserve">1</w:t>
            </w:r>
          </w:p>
        </w:tc>
        <w:tc>
          <w:tcPr/>
          <w:p>
            <w:pPr>
              <w:pStyle w:val="Compact"/>
              <w:jc w:val="left"/>
            </w:pPr>
            <w:r>
              <w:t xml:space="preserve">96,000.00</w:t>
            </w:r>
          </w:p>
        </w:tc>
        <w:tc>
          <w:tcPr/>
          <w:p>
            <w:pPr>
              <w:pStyle w:val="Compact"/>
              <w:jc w:val="left"/>
            </w:pPr>
            <w:r>
              <w:t xml:space="preserve">96,000.00</w:t>
            </w:r>
          </w:p>
        </w:tc>
      </w:tr>
      <w:tr>
        <w:tc>
          <w:tcPr/>
          <w:p>
            <w:pPr>
              <w:pStyle w:val="Compact"/>
              <w:jc w:val="left"/>
            </w:pPr>
            <w:r>
              <w:t xml:space="preserve">08</w:t>
            </w:r>
          </w:p>
        </w:tc>
        <w:tc>
          <w:tcPr/>
          <w:p>
            <w:pPr>
              <w:pStyle w:val="Compact"/>
              <w:jc w:val="left"/>
            </w:pPr>
            <w:r>
              <w:t xml:space="preserve">Replacement Judge's Robe Linings and Accessories</w:t>
            </w:r>
          </w:p>
        </w:tc>
        <w:tc>
          <w:tcPr/>
          <w:p>
            <w:pPr>
              <w:pStyle w:val="Compact"/>
              <w:jc w:val="left"/>
            </w:pPr>
            <w:r>
              <w:t xml:space="preserve">Two spare silk linings, one spare gold-thread collar, one spare cuff set, maintenance and repair kit</w:t>
            </w:r>
          </w:p>
        </w:tc>
        <w:tc>
          <w:tcPr/>
          <w:p>
            <w:pPr>
              <w:pStyle w:val="Compact"/>
              <w:jc w:val="left"/>
            </w:pPr>
            <w:r>
              <w:t xml:space="preserve">1</w:t>
            </w:r>
          </w:p>
        </w:tc>
        <w:tc>
          <w:tcPr/>
          <w:p>
            <w:pPr>
              <w:pStyle w:val="Compact"/>
              <w:jc w:val="left"/>
            </w:pPr>
            <w:r>
              <w:t xml:space="preserve">38,500.00</w:t>
            </w:r>
          </w:p>
        </w:tc>
        <w:tc>
          <w:tcPr/>
          <w:p>
            <w:pPr>
              <w:pStyle w:val="Compact"/>
              <w:jc w:val="left"/>
            </w:pPr>
            <w:r>
              <w:t xml:space="preserve">38,500.00</w:t>
            </w:r>
          </w:p>
        </w:tc>
      </w:tr>
      <w:tr>
        <w:tc>
          <w:tcPr>
            <w:gridSpan w:val="5"/>
          </w:tcPr>
          <w:p>
            <w:pPr>
              <w:pStyle w:val="Compact"/>
              <w:jc w:val="right"/>
            </w:pPr>
            <w:r>
              <w:t xml:space="preserve">GRAND TOTAL (inclusive of 20% VAT):</w:t>
            </w:r>
          </w:p>
        </w:tc>
        <w:tc>
          <w:tcPr/>
          <w:p>
            <w:pPr>
              <w:pStyle w:val="Compact"/>
              <w:jc w:val="left"/>
            </w:pPr>
            <w:r>
              <w:t xml:space="preserve">721,250.00</w:t>
            </w:r>
          </w:p>
        </w:tc>
      </w:tr>
    </w:tbl>
    <w:p>
      <w:pPr>
        <w:pStyle w:val="BodyText"/>
      </w:pPr>
      <w:r>
        <w:t xml:space="preserve">3. Terms and Conditions</w:t>
      </w:r>
    </w:p>
    <w:p>
      <w:pPr>
        <w:numPr>
          <w:ilvl w:val="0"/>
          <w:numId w:val="1001"/>
        </w:numPr>
        <w:pStyle w:val="Compact"/>
      </w:pPr>
      <w:r>
        <w:rPr>
          <w:bCs/>
          <w:b/>
        </w:rPr>
        <w:t xml:space="preserve">Compliance:</w:t>
      </w:r>
      <w:r>
        <w:t xml:space="preserve"> </w:t>
      </w:r>
      <w:r>
        <w:t xml:space="preserve">All items supplied under this Purchase Order must conform to the specifications set forth by the Judicial Department of the Russian Federation and the internal dress and furnishing regulations of the Supreme Court of Saint Petersburg. The Judge's robe, in particular, must adhere to the color, material, and embroidery standards prescribed by Federal Judicial Act No. 7-FZ.</w:t>
      </w:r>
    </w:p>
    <w:p>
      <w:pPr>
        <w:numPr>
          <w:ilvl w:val="0"/>
          <w:numId w:val="1001"/>
        </w:numPr>
        <w:pStyle w:val="Compact"/>
      </w:pPr>
      <w:r>
        <w:rPr>
          <w:bCs/>
          <w:b/>
        </w:rPr>
        <w:t xml:space="preserve">Delivery:</w:t>
      </w:r>
      <w:r>
        <w:t xml:space="preserve"> </w:t>
      </w:r>
      <w:r>
        <w:t xml:space="preserve">The supplier shall deliver all items to the Supreme Court of Saint Petersburg, 10 Liteyny Avenue, no later than 30 July 2025. Delivery shall be made during business hours (09:00–18:00, Moscow Time) and shall be coordinated with the court's security office at least five (5) business days in advance.</w:t>
      </w:r>
    </w:p>
    <w:p>
      <w:pPr>
        <w:numPr>
          <w:ilvl w:val="0"/>
          <w:numId w:val="1001"/>
        </w:numPr>
        <w:pStyle w:val="Compact"/>
      </w:pPr>
      <w:r>
        <w:rPr>
          <w:bCs/>
          <w:b/>
        </w:rPr>
        <w:t xml:space="preserve">Inspection and Acceptance:</w:t>
      </w:r>
      <w:r>
        <w:t xml:space="preserve"> </w:t>
      </w:r>
      <w:r>
        <w:t xml:space="preserve">Upon delivery, a joint inspection committee comprising the Procurement Director, the assigned Judge's administrative assistant, and a representative of the supplier shall verify each item against the specifications in Section 2. Any non-conforming item must be replaced within ten (10) business days at the supplier's sole expense.</w:t>
      </w:r>
    </w:p>
    <w:p>
      <w:pPr>
        <w:numPr>
          <w:ilvl w:val="0"/>
          <w:numId w:val="1001"/>
        </w:numPr>
        <w:pStyle w:val="Compact"/>
      </w:pPr>
      <w:r>
        <w:rPr>
          <w:bCs/>
          <w:b/>
        </w:rPr>
        <w:t xml:space="preserve">Warranty:</w:t>
      </w:r>
      <w:r>
        <w:t xml:space="preserve"> </w:t>
      </w:r>
      <w:r>
        <w:t xml:space="preserve">The supplier warrants all goods against defects in materials and workmanship for a period of three (3) years from the date of acceptance. The Judge's gavel, bench, and library shelf carry a structural warranty of five (5) years.</w:t>
      </w:r>
    </w:p>
    <w:p>
      <w:pPr>
        <w:numPr>
          <w:ilvl w:val="0"/>
          <w:numId w:val="1001"/>
        </w:numPr>
        <w:pStyle w:val="Compact"/>
      </w:pPr>
      <w:r>
        <w:rPr>
          <w:bCs/>
          <w:b/>
        </w:rPr>
        <w:t xml:space="preserve">Payment:</w:t>
      </w:r>
      <w:r>
        <w:t xml:space="preserve"> </w:t>
      </w:r>
      <w:r>
        <w:t xml:space="preserve">Payment of the full amount of 721,250.00 RUB shall be made within forty-five (45) calendar days of the date of the final acceptance certificate, via bank transfer to the supplier's designated account. Late payments shall accrue interest at the rate of 0.05% per day as stipulated by the Civil Code of the Russian Federation.</w:t>
      </w:r>
    </w:p>
    <w:p>
      <w:pPr>
        <w:numPr>
          <w:ilvl w:val="0"/>
          <w:numId w:val="1001"/>
        </w:numPr>
        <w:pStyle w:val="Compact"/>
      </w:pPr>
      <w:r>
        <w:rPr>
          <w:bCs/>
          <w:b/>
        </w:rPr>
        <w:t xml:space="preserve">Confidentiality:</w:t>
      </w:r>
      <w:r>
        <w:t xml:space="preserve"> </w:t>
      </w:r>
      <w:r>
        <w:t xml:space="preserve">The supplier acknowledges that this Purchase Order pertains to the personal judicial workspace of a sitting Judge of the Supreme Court of Saint Petersburg. All information contained herein is classified as internal government procurement data and shall not be disclosed to any third party without written authorization from the Committee for Judicial Administration.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Russian Federation, including Federal Law No. 44-FZ and the Civil Code of the Russian Federation. Any disputes arising hereunder shall be resolved by the Arbitration Court of Saint Petersburg and the Leningrad Region.</w:t>
      </w:r>
    </w:p>
    <w:p>
      <w:pPr>
        <w:numPr>
          <w:ilvl w:val="0"/>
          <w:numId w:val="1001"/>
        </w:numPr>
        <w:pStyle w:val="Compact"/>
      </w:pPr>
      <w:r>
        <w:rPr>
          <w:bCs/>
          <w:b/>
        </w:rPr>
        <w:t xml:space="preserve">Force Majeure:</w:t>
      </w:r>
      <w:r>
        <w:t xml:space="preserve"> </w:t>
      </w:r>
      <w:r>
        <w:t xml:space="preserve">Neither party shall be liable for failure to perform obligations due to circumstances beyond reasonable control, including but not limited to natural disasters, government sanctions, or acts of war, provided that the affected party notifies the other in writing within five (5) days of the occurrence.</w:t>
      </w:r>
    </w:p>
    <w:p>
      <w:pPr>
        <w:pStyle w:val="FirstParagraph"/>
      </w:pPr>
      <w:r>
        <w:t xml:space="preserve">4. Authorization and Signatures</w:t>
      </w:r>
    </w:p>
    <w:p>
      <w:pPr>
        <w:pStyle w:val="BodyText"/>
      </w:pPr>
      <w:r>
        <w:rPr>
          <w:bCs/>
          <w:b/>
        </w:rPr>
        <w:t xml:space="preserve">For the Buyer:</w:t>
      </w:r>
    </w:p>
    <w:p>
      <w:pPr>
        <w:pStyle w:val="BodyText"/>
      </w:pPr>
      <w:r>
        <w:t xml:space="preserve">Committee for Judicial Administration</w:t>
      </w:r>
      <w:r>
        <w:br/>
      </w:r>
      <w:r>
        <w:t xml:space="preserve">Saint Petersburg, Russian Federation</w:t>
      </w:r>
    </w:p>
    <w:p>
      <w:pPr>
        <w:pStyle w:val="BodyText"/>
      </w:pPr>
      <w:r>
        <w:t xml:space="preserve">Dr. Elena V. Sokolova</w:t>
      </w:r>
      <w:r>
        <w:br/>
      </w:r>
      <w:r>
        <w:t xml:space="preserve">Procurement Director</w:t>
      </w:r>
      <w:r>
        <w:br/>
      </w:r>
      <w:r>
        <w:t xml:space="preserve">Date: _______________</w:t>
      </w:r>
    </w:p>
    <w:p>
      <w:pPr>
        <w:pStyle w:val="BodyText"/>
      </w:pPr>
      <w:r>
        <w:rPr>
          <w:bCs/>
          <w:b/>
        </w:rPr>
        <w:t xml:space="preserve">For the Supplier:</w:t>
      </w:r>
    </w:p>
    <w:p>
      <w:pPr>
        <w:pStyle w:val="BodyText"/>
      </w:pPr>
      <w:r>
        <w:t xml:space="preserve">Imperial Court Furnishings LLC</w:t>
      </w:r>
      <w:r>
        <w:br/>
      </w:r>
      <w:r>
        <w:t xml:space="preserve">Saint Petersburg, Russian Federation</w:t>
      </w:r>
    </w:p>
    <w:p>
      <w:pPr>
        <w:pStyle w:val="BodyText"/>
      </w:pPr>
      <w:r>
        <w:t xml:space="preserve">Mr. Dmitry A. Volkov</w:t>
      </w:r>
      <w:r>
        <w:br/>
      </w:r>
      <w:r>
        <w:t xml:space="preserve">Sales Manager</w:t>
      </w:r>
      <w:r>
        <w:br/>
      </w:r>
      <w:r>
        <w:t xml:space="preserve">Date: _______________</w:t>
      </w:r>
    </w:p>
    <w:p>
      <w:pPr>
        <w:pStyle w:val="BodyText"/>
      </w:pPr>
      <w:r>
        <w:t xml:space="preserve">This Purchase Order (PO-SPB-JDG-2025-0472) is an official document of the Committee for Judicial Administration, Saint Petersburg, Russian Federation.</w:t>
      </w:r>
      <w:r>
        <w:br/>
      </w:r>
      <w:r>
        <w:t xml:space="preserve">It is issued in two (2) original copies, one for the Buyer and one for the Supplier. Electronic copies are valid per Federal Law No. 63-FZ on Electronic Signatures.</w:t>
      </w:r>
      <w:r>
        <w:br/>
      </w:r>
      <w:r>
        <w:t xml:space="preserve">© 2025 Committee for Judicial Administration, Saint Petersburg.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Judicial Supplies - Saint Petersburg, Russia</dc:title>
  <dc:creator/>
  <dc:language>en</dc:language>
  <cp:keywords/>
  <dcterms:created xsi:type="dcterms:W3CDTF">2026-10-10T08:09:55Z</dcterms:created>
  <dcterms:modified xsi:type="dcterms:W3CDTF">2026-10-10T08:09:55Z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