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Equipment</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purchase-order"/>
    <w:p>
      <w:pPr>
        <w:pStyle w:val="Heading1"/>
      </w:pPr>
      <w:r>
        <w:t xml:space="preserve">PURCHASE ORDER</w:t>
      </w:r>
    </w:p>
    <w:p>
      <w:pPr>
        <w:pStyle w:val="FirstParagraph"/>
      </w:pPr>
      <w:r>
        <w:t xml:space="preserve">Kingdom of Saudi Arabia — Ministry of Justice — Jeddah Judicial District</w:t>
      </w:r>
    </w:p>
    <w:p>
      <w:pPr>
        <w:pStyle w:val="BodyText"/>
      </w:pPr>
      <w:r>
        <w:t xml:space="preserve">PO No.: KSA-JED-JUD-2025-04782</w:t>
      </w:r>
    </w:p>
    <w:bookmarkEnd w:id="20"/>
    <w:bookmarkStart w:id="21" w:name="buyer-issuing-authority"/>
    <w:p>
      <w:pPr>
        <w:pStyle w:val="Heading3"/>
      </w:pPr>
      <w:r>
        <w:t xml:space="preserve">Buyer (Issuing Authority)</w:t>
      </w:r>
    </w:p>
    <w:p>
      <w:pPr>
        <w:pStyle w:val="FirstParagraph"/>
      </w:pPr>
      <w:r>
        <w:rPr>
          <w:bCs/>
          <w:b/>
        </w:rPr>
        <w:t xml:space="preserve">Entity:</w:t>
      </w:r>
      <w:r>
        <w:t xml:space="preserve"> </w:t>
      </w:r>
      <w:r>
        <w:t xml:space="preserve">Jeddah Judicial District Office</w:t>
      </w:r>
    </w:p>
    <w:p>
      <w:pPr>
        <w:pStyle w:val="BodyText"/>
      </w:pPr>
      <w:r>
        <w:rPr>
          <w:bCs/>
          <w:b/>
        </w:rPr>
        <w:t xml:space="preserve">Department:</w:t>
      </w:r>
      <w:r>
        <w:t xml:space="preserve"> </w:t>
      </w:r>
      <w:r>
        <w:t xml:space="preserve">Office of the Presiding Judge</w:t>
      </w:r>
    </w:p>
    <w:p>
      <w:pPr>
        <w:pStyle w:val="BodyText"/>
      </w:pPr>
      <w:r>
        <w:rPr>
          <w:bCs/>
          <w:b/>
        </w:rPr>
        <w:t xml:space="preserve">Address:</w:t>
      </w:r>
      <w:r>
        <w:t xml:space="preserve"> </w:t>
      </w:r>
      <w:r>
        <w:t xml:space="preserve">King Fahd Judicial Complex, Al Shati District, Jeddah 23412, Saudi Arabia</w:t>
      </w:r>
    </w:p>
    <w:p>
      <w:pPr>
        <w:pStyle w:val="BodyText"/>
      </w:pPr>
      <w:r>
        <w:rPr>
          <w:bCs/>
          <w:b/>
        </w:rPr>
        <w:t xml:space="preserve">Contact:</w:t>
      </w:r>
      <w:r>
        <w:t xml:space="preserve"> </w:t>
      </w:r>
      <w:r>
        <w:t xml:space="preserve">Procurement Division, Ext. 4471</w:t>
      </w:r>
    </w:p>
    <w:p>
      <w:pPr>
        <w:pStyle w:val="BodyText"/>
      </w:pPr>
      <w:r>
        <w:rPr>
          <w:bCs/>
          <w:b/>
        </w:rPr>
        <w:t xml:space="preserve">Email:</w:t>
      </w:r>
      <w:r>
        <w:t xml:space="preserve"> </w:t>
      </w:r>
      <w:r>
        <w:t xml:space="preserve">procurement.jeddah@moj.gov.sa</w:t>
      </w:r>
    </w:p>
    <w:bookmarkEnd w:id="21"/>
    <w:bookmarkStart w:id="22" w:name="supplier-vendor"/>
    <w:p>
      <w:pPr>
        <w:pStyle w:val="Heading3"/>
      </w:pPr>
      <w:r>
        <w:t xml:space="preserve">Supplier (Vendor)</w:t>
      </w:r>
    </w:p>
    <w:p>
      <w:pPr>
        <w:pStyle w:val="FirstParagraph"/>
      </w:pPr>
      <w:r>
        <w:rPr>
          <w:bCs/>
          <w:b/>
        </w:rPr>
        <w:t xml:space="preserve">Entity:</w:t>
      </w:r>
      <w:r>
        <w:t xml:space="preserve"> </w:t>
      </w:r>
      <w:r>
        <w:t xml:space="preserve">Al-Nakheel Judicial Solutions Co. Ltd.</w:t>
      </w:r>
    </w:p>
    <w:p>
      <w:pPr>
        <w:pStyle w:val="BodyText"/>
      </w:pPr>
      <w:r>
        <w:rPr>
          <w:bCs/>
          <w:b/>
        </w:rPr>
        <w:t xml:space="preserve">Address:</w:t>
      </w:r>
      <w:r>
        <w:t xml:space="preserve"> </w:t>
      </w:r>
      <w:r>
        <w:t xml:space="preserve">Industrial City, Jeddah 23541, Saudi Arabia</w:t>
      </w:r>
    </w:p>
    <w:p>
      <w:pPr>
        <w:pStyle w:val="BodyText"/>
      </w:pPr>
      <w:r>
        <w:rPr>
          <w:bCs/>
          <w:b/>
        </w:rPr>
        <w:t xml:space="preserve">CR No.:</w:t>
      </w:r>
      <w:r>
        <w:t xml:space="preserve"> </w:t>
      </w:r>
      <w:r>
        <w:t xml:space="preserve">1010457892</w:t>
      </w:r>
    </w:p>
    <w:p>
      <w:pPr>
        <w:pStyle w:val="BodyText"/>
      </w:pPr>
      <w:r>
        <w:rPr>
          <w:bCs/>
          <w:b/>
        </w:rPr>
        <w:t xml:space="preserve">VAT No.:</w:t>
      </w:r>
      <w:r>
        <w:t xml:space="preserve"> </w:t>
      </w:r>
      <w:r>
        <w:t xml:space="preserve">310123456700003</w:t>
      </w:r>
    </w:p>
    <w:p>
      <w:pPr>
        <w:pStyle w:val="BodyText"/>
      </w:pPr>
      <w:r>
        <w:rPr>
          <w:bCs/>
          <w:b/>
        </w:rPr>
        <w:t xml:space="preserve">Contact:</w:t>
      </w:r>
      <w:r>
        <w:t xml:space="preserve"> </w:t>
      </w:r>
      <w:r>
        <w:t xml:space="preserve">Mr. Khalid Al-Otaibi, Sales Director</w:t>
      </w:r>
    </w:p>
    <w:p>
      <w:pPr>
        <w:pStyle w:val="BodyText"/>
      </w:pPr>
      <w:r>
        <w:rPr>
          <w:bCs/>
          <w:b/>
        </w:rPr>
        <w:t xml:space="preserve">Phone:</w:t>
      </w:r>
      <w:r>
        <w:t xml:space="preserve"> </w:t>
      </w:r>
      <w:r>
        <w:t xml:space="preserve">+966 12 664 8890</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Judge’s Chambers, 4th Floor, King Fahd Judicial Complex, Jeddah, Saudi Arabia</w:t>
      </w:r>
    </w:p>
    <w:p>
      <w:pPr>
        <w:pStyle w:val="BodyText"/>
      </w:pPr>
      <w:r>
        <w:rPr>
          <w:bCs/>
          <w:b/>
        </w:rPr>
        <w:t xml:space="preserve">Payment Terms:</w:t>
      </w:r>
      <w:r>
        <w:t xml:space="preserve"> </w:t>
      </w:r>
      <w:r>
        <w:t xml:space="preserve">Net 45 days from invoice acceptance</w:t>
      </w:r>
    </w:p>
    <w:p>
      <w:pPr>
        <w:pStyle w:val="BodyText"/>
      </w:pPr>
      <w:r>
        <w:rPr>
          <w:bCs/>
          <w:b/>
        </w:rPr>
        <w:t xml:space="preserve">Currency:</w:t>
      </w:r>
      <w:r>
        <w:t xml:space="preserve"> </w:t>
      </w:r>
      <w:r>
        <w:t xml:space="preserve">Saudi Riyal (SAR)</w:t>
      </w:r>
    </w:p>
    <w:bookmarkEnd w:id="23"/>
    <w:bookmarkStart w:id="24" w:name="reference-authorization"/>
    <w:p>
      <w:pPr>
        <w:pStyle w:val="Heading3"/>
      </w:pPr>
      <w:r>
        <w:t xml:space="preserve">Reference &amp; Authorization</w:t>
      </w:r>
    </w:p>
    <w:p>
      <w:pPr>
        <w:pStyle w:val="FirstParagraph"/>
      </w:pPr>
      <w:r>
        <w:rPr>
          <w:bCs/>
          <w:b/>
        </w:rPr>
        <w:t xml:space="preserve">Internal Ref:</w:t>
      </w:r>
      <w:r>
        <w:t xml:space="preserve"> </w:t>
      </w:r>
      <w:r>
        <w:t xml:space="preserve">MOJ/JED/PROC/2025/1134</w:t>
      </w:r>
    </w:p>
    <w:p>
      <w:pPr>
        <w:pStyle w:val="BodyText"/>
      </w:pPr>
      <w:r>
        <w:rPr>
          <w:bCs/>
          <w:b/>
        </w:rPr>
        <w:t xml:space="preserve">Authorized By:</w:t>
      </w:r>
      <w:r>
        <w:t xml:space="preserve"> </w:t>
      </w:r>
      <w:r>
        <w:t xml:space="preserve">H.E. Judge Ibrahim Al-Harbi, Presiding Judge, Jeddah Court of First Instance</w:t>
      </w:r>
    </w:p>
    <w:p>
      <w:pPr>
        <w:pStyle w:val="BodyText"/>
      </w:pPr>
      <w:r>
        <w:rPr>
          <w:bCs/>
          <w:b/>
        </w:rPr>
        <w:t xml:space="preserve">Budget Code:</w:t>
      </w:r>
      <w:r>
        <w:t xml:space="preserve"> </w:t>
      </w:r>
      <w:r>
        <w:t xml:space="preserve">JUD-JED-2025-EQ-009</w:t>
      </w:r>
    </w:p>
    <w:p>
      <w:pPr>
        <w:pStyle w:val="BodyText"/>
      </w:pPr>
      <w:r>
        <w:rPr>
          <w:bCs/>
          <w:b/>
        </w:rPr>
        <w:t xml:space="preserve">Project:</w:t>
      </w:r>
      <w:r>
        <w:t xml:space="preserve"> </w:t>
      </w:r>
      <w:r>
        <w:t xml:space="preserve">Judicial Office Modernization — Phase II, Jeddah</w:t>
      </w:r>
    </w:p>
    <w:bookmarkEnd w:id="24"/>
    <w:bookmarkStart w:id="25" w:name="Xd119536256e7a491f26d755a29a0c58e3550bf9"/>
    <w:p>
      <w:pPr>
        <w:pStyle w:val="Heading2"/>
      </w:pPr>
      <w:r>
        <w:t xml:space="preserve">Itemized Purchase Order for Judge’s Office Equipment — Jeddah, Saudi Arabia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Price (SAR)</w:t>
            </w:r>
          </w:p>
        </w:tc>
      </w:tr>
      <w:tr>
        <w:tc>
          <w:tcPr/>
          <w:p>
            <w:pPr>
              <w:pStyle w:val="Compact"/>
              <w:jc w:val="left"/>
            </w:pPr>
            <w:r>
              <w:t xml:space="preserve">1</w:t>
            </w:r>
          </w:p>
        </w:tc>
        <w:tc>
          <w:tcPr/>
          <w:p>
            <w:pPr>
              <w:pStyle w:val="Compact"/>
              <w:jc w:val="left"/>
            </w:pPr>
            <w:r>
              <w:t xml:space="preserve">Executive Judge’s Desk — Solid Mahogany, with integrated cable management, dual monitor arm mounts, and built-in document organizer for judicial case files</w:t>
            </w:r>
          </w:p>
        </w:tc>
        <w:tc>
          <w:tcPr/>
          <w:p>
            <w:pPr>
              <w:pStyle w:val="Compact"/>
              <w:jc w:val="left"/>
            </w:pPr>
            <w:r>
              <w:t xml:space="preserve">JUD-DESK-4400</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2</w:t>
            </w:r>
          </w:p>
        </w:tc>
        <w:tc>
          <w:tcPr/>
          <w:p>
            <w:pPr>
              <w:pStyle w:val="Compact"/>
              <w:jc w:val="left"/>
            </w:pPr>
            <w:r>
              <w:t xml:space="preserve">Ergonomic Judge’s Chair — High-back leather executive chair with lumbar support, adjustable armrests, and 360-degree rotation for courtroom and chambers use</w:t>
            </w:r>
          </w:p>
        </w:tc>
        <w:tc>
          <w:tcPr/>
          <w:p>
            <w:pPr>
              <w:pStyle w:val="Compact"/>
              <w:jc w:val="left"/>
            </w:pPr>
            <w:r>
              <w:t xml:space="preserve">JUD-CHR-2200</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r>
      <w:tr>
        <w:tc>
          <w:tcPr/>
          <w:p>
            <w:pPr>
              <w:pStyle w:val="Compact"/>
              <w:jc w:val="left"/>
            </w:pPr>
            <w:r>
              <w:t xml:space="preserve">3</w:t>
            </w:r>
          </w:p>
        </w:tc>
        <w:tc>
          <w:tcPr/>
          <w:p>
            <w:pPr>
              <w:pStyle w:val="Compact"/>
              <w:jc w:val="left"/>
            </w:pPr>
            <w:r>
              <w:t xml:space="preserve">High-Performance Judicial Workstation PC — Intel i9, 64GB RAM, 2TB NVMe SSD, dedicated GPU for digital case management systems, pre-loaded with Saudi Ministry of Justice software suite</w:t>
            </w:r>
          </w:p>
        </w:tc>
        <w:tc>
          <w:tcPr/>
          <w:p>
            <w:pPr>
              <w:pStyle w:val="Compact"/>
              <w:jc w:val="left"/>
            </w:pPr>
            <w:r>
              <w:t xml:space="preserve">JUD-PC-9900</w:t>
            </w:r>
          </w:p>
        </w:tc>
        <w:tc>
          <w:tcPr/>
          <w:p>
            <w:pPr>
              <w:pStyle w:val="Compact"/>
              <w:jc w:val="left"/>
            </w:pPr>
            <w:r>
              <w:t xml:space="preserve">3</w:t>
            </w:r>
          </w:p>
        </w:tc>
        <w:tc>
          <w:tcPr/>
          <w:p>
            <w:pPr>
              <w:pStyle w:val="Compact"/>
              <w:jc w:val="left"/>
            </w:pPr>
            <w:r>
              <w:t xml:space="preserve">22,000.00</w:t>
            </w:r>
          </w:p>
        </w:tc>
        <w:tc>
          <w:tcPr/>
          <w:p>
            <w:pPr>
              <w:pStyle w:val="Compact"/>
              <w:jc w:val="left"/>
            </w:pPr>
            <w:r>
              <w:t xml:space="preserve">66,000.00</w:t>
            </w:r>
          </w:p>
        </w:tc>
      </w:tr>
      <w:tr>
        <w:tc>
          <w:tcPr/>
          <w:p>
            <w:pPr>
              <w:pStyle w:val="Compact"/>
              <w:jc w:val="left"/>
            </w:pPr>
            <w:r>
              <w:t xml:space="preserve">4</w:t>
            </w:r>
          </w:p>
        </w:tc>
        <w:tc>
          <w:tcPr/>
          <w:p>
            <w:pPr>
              <w:pStyle w:val="Compact"/>
              <w:jc w:val="left"/>
            </w:pPr>
            <w:r>
              <w:t xml:space="preserve">4K Dual Monitor Display Set (32-inch each) — For simultaneous review of legal documents, court transcripts, and digital evidence in the Judge’s chambers</w:t>
            </w:r>
          </w:p>
        </w:tc>
        <w:tc>
          <w:tcPr/>
          <w:p>
            <w:pPr>
              <w:pStyle w:val="Compact"/>
              <w:jc w:val="left"/>
            </w:pPr>
            <w:r>
              <w:t xml:space="preserve">JUD-MON-324K</w:t>
            </w:r>
          </w:p>
        </w:tc>
        <w:tc>
          <w:tcPr/>
          <w:p>
            <w:pPr>
              <w:pStyle w:val="Compact"/>
              <w:jc w:val="left"/>
            </w:pPr>
            <w:r>
              <w:t xml:space="preserve">3</w:t>
            </w:r>
          </w:p>
        </w:tc>
        <w:tc>
          <w:tcPr/>
          <w:p>
            <w:pPr>
              <w:pStyle w:val="Compact"/>
              <w:jc w:val="left"/>
            </w:pPr>
            <w:r>
              <w:t xml:space="preserve">9,800.00</w:t>
            </w:r>
          </w:p>
        </w:tc>
        <w:tc>
          <w:tcPr/>
          <w:p>
            <w:pPr>
              <w:pStyle w:val="Compact"/>
              <w:jc w:val="left"/>
            </w:pPr>
            <w:r>
              <w:t xml:space="preserve">29,400.00</w:t>
            </w:r>
          </w:p>
        </w:tc>
      </w:tr>
      <w:tr>
        <w:tc>
          <w:tcPr/>
          <w:p>
            <w:pPr>
              <w:pStyle w:val="Compact"/>
              <w:jc w:val="left"/>
            </w:pPr>
            <w:r>
              <w:t xml:space="preserve">5</w:t>
            </w:r>
          </w:p>
        </w:tc>
        <w:tc>
          <w:tcPr/>
          <w:p>
            <w:pPr>
              <w:pStyle w:val="Compact"/>
              <w:jc w:val="left"/>
            </w:pPr>
            <w:r>
              <w:t xml:space="preserve">Digital Case Management &amp; E-Signature System &amp;mdash&gt; Licensed software for the Judge to review, annotate, and digitally sign judicial rulings, compatible with the Saudi National Judicial Platform</w:t>
            </w:r>
          </w:p>
        </w:tc>
        <w:tc>
          <w:tcPr/>
          <w:p>
            <w:pPr>
              <w:pStyle w:val="Compact"/>
              <w:jc w:val="left"/>
            </w:pPr>
            <w:r>
              <w:t xml:space="preserve">JUD-SW-EMS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Secure Document Storage Cabinet — Fire-resistant, biometric-locked steel cabinet for physical case files, legal precedents, and confidential judicial records</w:t>
            </w:r>
          </w:p>
        </w:tc>
        <w:tc>
          <w:tcPr/>
          <w:p>
            <w:pPr>
              <w:pStyle w:val="Compact"/>
              <w:jc w:val="left"/>
            </w:pPr>
            <w:r>
              <w:t xml:space="preserve">JUD-CAB-770</w:t>
            </w:r>
          </w:p>
        </w:tc>
        <w:tc>
          <w:tcPr/>
          <w:p>
            <w:pPr>
              <w:pStyle w:val="Compact"/>
              <w:jc w:val="left"/>
            </w:pPr>
            <w:r>
              <w:t xml:space="preserve">2</w:t>
            </w:r>
          </w:p>
        </w:tc>
        <w:tc>
          <w:tcPr/>
          <w:p>
            <w:pPr>
              <w:pStyle w:val="Compact"/>
              <w:jc w:val="left"/>
            </w:pPr>
            <w:r>
              <w:t xml:space="preserve">12,400.00</w:t>
            </w:r>
          </w:p>
        </w:tc>
        <w:tc>
          <w:tcPr/>
          <w:p>
            <w:pPr>
              <w:pStyle w:val="Compact"/>
              <w:jc w:val="left"/>
            </w:pPr>
            <w:r>
              <w:t xml:space="preserve">24,800.00</w:t>
            </w:r>
          </w:p>
        </w:tc>
      </w:tr>
      <w:tr>
        <w:tc>
          <w:tcPr/>
          <w:p>
            <w:pPr>
              <w:pStyle w:val="Compact"/>
              <w:jc w:val="left"/>
            </w:pPr>
            <w:r>
              <w:t xml:space="preserve">7</w:t>
            </w:r>
          </w:p>
        </w:tc>
        <w:tc>
          <w:tcPr/>
          <w:p>
            <w:pPr>
              <w:pStyle w:val="Compact"/>
              <w:jc w:val="left"/>
            </w:pPr>
            <w:r>
              <w:t xml:space="preserve">Conference Table &amp; Seating (8-person) — For the Judge’s private consultations with legal counsel, court clerks, and administrative staff in Jeddah</w:t>
            </w:r>
          </w:p>
        </w:tc>
        <w:tc>
          <w:tcPr/>
          <w:p>
            <w:pPr>
              <w:pStyle w:val="Compact"/>
              <w:jc w:val="left"/>
            </w:pPr>
            <w:r>
              <w:t xml:space="preserve">JUD-CONF-8P</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8</w:t>
            </w:r>
          </w:p>
        </w:tc>
        <w:tc>
          <w:tcPr/>
          <w:p>
            <w:pPr>
              <w:pStyle w:val="Compact"/>
              <w:jc w:val="left"/>
            </w:pPr>
            <w:r>
              <w:t xml:space="preserve">Professional Audio-Visual Recording System &amp;mdash&gt; For the Judge’s chambers to record proceedings, hearings, and private deliberations in compliance with Saudi judicial recording regulations</w:t>
            </w:r>
          </w:p>
        </w:tc>
        <w:tc>
          <w:tcPr/>
          <w:p>
            <w:pPr>
              <w:pStyle w:val="Compact"/>
              <w:jc w:val="left"/>
            </w:pPr>
            <w:r>
              <w:t xml:space="preserve">JUD-AV-REC</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9</w:t>
            </w:r>
          </w:p>
        </w:tc>
        <w:tc>
          <w:tcPr/>
          <w:p>
            <w:pPr>
              <w:pStyle w:val="Compact"/>
              <w:jc w:val="left"/>
            </w:pPr>
            <w:r>
              <w:t xml:space="preserve">UPS Power Backup System (10kVA) &amp;mdash&gt; To ensure uninterrupted operation of the Judge’s digital systems during power fluctuations in the Jeddah judicial complex</w:t>
            </w:r>
          </w:p>
        </w:tc>
        <w:tc>
          <w:tcPr/>
          <w:p>
            <w:pPr>
              <w:pStyle w:val="Compact"/>
              <w:jc w:val="left"/>
            </w:pPr>
            <w:r>
              <w:t xml:space="preserve">JUD-UPS-10K</w:t>
            </w:r>
          </w:p>
        </w:tc>
        <w:tc>
          <w:tcPr/>
          <w:p>
            <w:pPr>
              <w:pStyle w:val="Compact"/>
              <w:jc w:val="left"/>
            </w:pPr>
            <w:r>
              <w:t xml:space="preserve">1</w:t>
            </w:r>
          </w:p>
        </w:tc>
        <w:tc>
          <w:tcPr/>
          <w:p>
            <w:pPr>
              <w:pStyle w:val="Compact"/>
              <w:jc w:val="left"/>
            </w:pPr>
            <w:r>
              <w:t xml:space="preserve">19,750.00</w:t>
            </w:r>
          </w:p>
        </w:tc>
        <w:tc>
          <w:tcPr/>
          <w:p>
            <w:pPr>
              <w:pStyle w:val="Compact"/>
              <w:jc w:val="left"/>
            </w:pPr>
            <w:r>
              <w:t xml:space="preserve">19,750.00</w:t>
            </w:r>
          </w:p>
        </w:tc>
      </w:tr>
      <w:tr>
        <w:tc>
          <w:tcPr/>
          <w:p>
            <w:pPr>
              <w:pStyle w:val="Compact"/>
              <w:jc w:val="left"/>
            </w:pPr>
            <w:r>
              <w:t xml:space="preserve">10</w:t>
            </w:r>
          </w:p>
        </w:tc>
        <w:tc>
          <w:tcPr/>
          <w:p>
            <w:pPr>
              <w:pStyle w:val="Compact"/>
              <w:jc w:val="left"/>
            </w:pPr>
            <w:r>
              <w:t xml:space="preserve">Installation, Configuration &amp; Training Services &amp;mdash&gt; On-site delivery, assembly, network integration, and staff training for the Judge’s office personnel in Jeddah, Saudi Arabia</w:t>
            </w:r>
          </w:p>
        </w:tc>
        <w:tc>
          <w:tcPr/>
          <w:p>
            <w:pPr>
              <w:pStyle w:val="Compact"/>
              <w:jc w:val="left"/>
            </w:pPr>
            <w:r>
              <w:t xml:space="preserve">JUD-SVC-INST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337,250.00 SAR</w:t>
            </w:r>
          </w:p>
        </w:tc>
      </w:tr>
      <w:tr>
        <w:tc>
          <w:tcPr/>
          <w:p>
            <w:pPr>
              <w:pStyle w:val="Compact"/>
              <w:jc w:val="left"/>
            </w:pPr>
            <w:r>
              <w:t xml:space="preserve">VAT (15%)</w:t>
            </w:r>
          </w:p>
        </w:tc>
        <w:tc>
          <w:tcPr/>
          <w:p>
            <w:pPr>
              <w:pStyle w:val="Compact"/>
              <w:jc w:val="right"/>
            </w:pPr>
            <w:r>
              <w:t xml:space="preserve">50,587.50 SAR</w:t>
            </w:r>
          </w:p>
        </w:tc>
      </w:tr>
      <w:tr>
        <w:tc>
          <w:tcPr/>
          <w:p>
            <w:pPr>
              <w:pStyle w:val="Compact"/>
              <w:jc w:val="left"/>
            </w:pPr>
            <w:r>
              <w:t xml:space="preserve">Delivery &amp; Handling (Jeddah)</w:t>
            </w:r>
          </w:p>
        </w:tc>
        <w:tc>
          <w:tcPr/>
          <w:p>
            <w:pPr>
              <w:pStyle w:val="Compact"/>
              <w:jc w:val="right"/>
            </w:pPr>
            <w:r>
              <w:t xml:space="preserve">4,200.00 SAR</w:t>
            </w:r>
          </w:p>
        </w:tc>
      </w:tr>
      <w:tr>
        <w:tc>
          <w:tcPr/>
          <w:p>
            <w:pPr>
              <w:pStyle w:val="Compact"/>
              <w:jc w:val="left"/>
            </w:pPr>
            <w:r>
              <w:t xml:space="preserve">Grand Total</w:t>
            </w:r>
          </w:p>
        </w:tc>
        <w:tc>
          <w:tcPr/>
          <w:p>
            <w:pPr>
              <w:pStyle w:val="Compact"/>
              <w:jc w:val="right"/>
            </w:pPr>
            <w:r>
              <w:t xml:space="preserve">392,037.50 SAR</w:t>
            </w:r>
          </w:p>
        </w:tc>
      </w:tr>
    </w:tbl>
    <w:p>
      <w:pPr>
        <w:pStyle w:val="BodyText"/>
      </w:pPr>
      <w:r>
        <w:t xml:space="preserve">[ Official Stamp of the Jeddah Judicial District — Kingdom of Saudi Arabia ]</w:t>
      </w:r>
    </w:p>
    <w:bookmarkEnd w:id="25"/>
    <w:bookmarkStart w:id="26" w:name="terms-and-conditions"/>
    <w:p>
      <w:pPr>
        <w:pStyle w:val="Heading2"/>
      </w:pPr>
      <w:r>
        <w:t xml:space="preserve">Terms and Conditions</w:t>
      </w:r>
    </w:p>
    <w:p>
      <w:pPr>
        <w:numPr>
          <w:ilvl w:val="0"/>
          <w:numId w:val="1001"/>
        </w:numPr>
        <w:pStyle w:val="Compact"/>
      </w:pPr>
      <w:r>
        <w:t xml:space="preserve">All goods listed in this Purchase Order are specifically procured for the use of the</w:t>
      </w:r>
      <w:r>
        <w:t xml:space="preserve"> </w:t>
      </w:r>
      <w:r>
        <w:t xml:space="preserve">Judge</w:t>
      </w:r>
      <w:r>
        <w:t xml:space="preserve"> </w:t>
      </w:r>
      <w:r>
        <w:t xml:space="preserve">and the judicial staff of the Jeddah Court of First Instance, Kingdom of Saudi Arabia. The supplier acknowledges that these items are intended for official judicial functions and must meet the quality standards set forth by the Saudi Ministry of Justice.</w:t>
      </w:r>
    </w:p>
    <w:p>
      <w:pPr>
        <w:numPr>
          <w:ilvl w:val="0"/>
          <w:numId w:val="1001"/>
        </w:numPr>
        <w:pStyle w:val="Compact"/>
      </w:pPr>
      <w:r>
        <w:t xml:space="preserve">Delivery of all items shall be made to the designated</w:t>
      </w:r>
      <w:r>
        <w:t xml:space="preserve"> </w:t>
      </w:r>
      <w:r>
        <w:t xml:space="preserve">Judge</w:t>
      </w:r>
      <w:r>
        <w:t xml:space="preserve">’s Chambers on the 4th Floor of the King Fahd Judicial Complex, Al Shati District,</w:t>
      </w:r>
      <w:r>
        <w:t xml:space="preserve"> </w:t>
      </w:r>
      <w:r>
        <w:t xml:space="preserve">Jeddah, Saudi Arabia</w:t>
      </w:r>
      <w:r>
        <w:t xml:space="preserve">. The supplier is responsible for all transportation, insurance, and risk of loss until the items are physically received and inspected by the authorized receiving officer of the Jeddah Judicial District.</w:t>
      </w:r>
    </w:p>
    <w:p>
      <w:pPr>
        <w:numPr>
          <w:ilvl w:val="0"/>
          <w:numId w:val="1001"/>
        </w:numPr>
        <w:pStyle w:val="Compact"/>
      </w:pPr>
      <w:r>
        <w:t xml:space="preserve">The supplier shall provide a minimum 24-month warranty on all hardware items and a 12-month warranty on all software licenses. Any defects discovered during the warranty period shall be repaired or replaced at no additional cost to the Jeddah Judicial District.</w:t>
      </w:r>
    </w:p>
    <w:p>
      <w:pPr>
        <w:numPr>
          <w:ilvl w:val="0"/>
          <w:numId w:val="1001"/>
        </w:numPr>
        <w:pStyle w:val="Compact"/>
      </w:pPr>
      <w:r>
        <w:t xml:space="preserve">Payment shall be processed via bank transfer to the supplier’s designated account within 45 calendar days of the Judge’s office issuing a formal acceptance certificate confirming that all items have been delivered, installed, and are functioning in accordance with the specifications outlined in this Purchase Order.</w:t>
      </w:r>
    </w:p>
    <w:p>
      <w:pPr>
        <w:numPr>
          <w:ilvl w:val="0"/>
          <w:numId w:val="1001"/>
        </w:numPr>
        <w:pStyle w:val="Compact"/>
      </w:pPr>
      <w:r>
        <w:t xml:space="preserve">The supplier shall comply with all applicable laws and regulations of the</w:t>
      </w:r>
      <w:r>
        <w:t xml:space="preserve"> </w:t>
      </w:r>
      <w:r>
        <w:t xml:space="preserve">Kingdom of Saudi Arabia</w:t>
      </w:r>
      <w:r>
        <w:t xml:space="preserve">, including but not limited to the Saudi Commercial Law, the VAT Law, and the data protection regulations governing the storage and processing of judicial records in</w:t>
      </w:r>
      <w:r>
        <w:t xml:space="preserve"> </w:t>
      </w:r>
      <w:r>
        <w:t xml:space="preserve">Jeddah</w:t>
      </w:r>
      <w:r>
        <w:t xml:space="preserve">.</w:t>
      </w:r>
    </w:p>
    <w:p>
      <w:pPr>
        <w:numPr>
          <w:ilvl w:val="0"/>
          <w:numId w:val="1001"/>
        </w:numPr>
        <w:pStyle w:val="Compact"/>
      </w:pPr>
      <w:r>
        <w:t xml:space="preserve">All software systems procured under this Purchase Order must be fully compatible with the Saudi National Judicial Platform and must support Arabic as the primary interface language, with English as a secondary language, to facilitate the Judge’s work in both local and international legal proceedings.</w:t>
      </w:r>
    </w:p>
    <w:p>
      <w:pPr>
        <w:numPr>
          <w:ilvl w:val="0"/>
          <w:numId w:val="1001"/>
        </w:numPr>
        <w:pStyle w:val="Compact"/>
      </w:pPr>
      <w:r>
        <w:t xml:space="preserve">The supplier shall assign a dedicated project manager based in or accessible to</w:t>
      </w:r>
      <w:r>
        <w:t xml:space="preserve"> </w:t>
      </w:r>
      <w:r>
        <w:t xml:space="preserve">Jeddah, Saudi Arabia</w:t>
      </w:r>
      <w:r>
        <w:t xml:space="preserve"> </w:t>
      </w:r>
      <w:r>
        <w:t xml:space="preserve">to oversee the installation and configuration process. All on-site work shall be conducted during standard business hours (Sunday through Thursday, 8:00 AM to 4:00 PM) in accordance with the workweek schedule in Saudi Arabia.</w:t>
      </w:r>
    </w:p>
    <w:p>
      <w:pPr>
        <w:numPr>
          <w:ilvl w:val="0"/>
          <w:numId w:val="1001"/>
        </w:numPr>
        <w:pStyle w:val="Compact"/>
      </w:pPr>
      <w:r>
        <w:t xml:space="preserve">Confidentiality: The supplier and all its personnel shall maintain strict confidentiality regarding the nature of judicial proceedings, case files, and any information encountered during the installation and training process in the Judge’s office. A non-disclosure agreement (NDA) shall be executed prior to any on-site work in Jeddah.</w:t>
      </w:r>
    </w:p>
    <w:p>
      <w:pPr>
        <w:numPr>
          <w:ilvl w:val="0"/>
          <w:numId w:val="1001"/>
        </w:numPr>
        <w:pStyle w:val="Compact"/>
      </w:pPr>
      <w:r>
        <w:t xml:space="preserve">This Purchase Order is governed by the laws of the</w:t>
      </w:r>
      <w:r>
        <w:t xml:space="preserve"> </w:t>
      </w:r>
      <w:r>
        <w:t xml:space="preserve">Kingdom of Saudi Arabia</w:t>
      </w:r>
      <w:r>
        <w:t xml:space="preserve">. Any disputes arising from this order shall be subject to the exclusive jurisdiction of the competent courts in</w:t>
      </w:r>
      <w:r>
        <w:t xml:space="preserve"> </w:t>
      </w:r>
      <w:r>
        <w:t xml:space="preserve">Jeddah, Saudi Arabia</w:t>
      </w:r>
      <w:r>
        <w:t xml:space="preserve">.</w:t>
      </w:r>
    </w:p>
    <w:p>
      <w:pPr>
        <w:numPr>
          <w:ilvl w:val="0"/>
          <w:numId w:val="1001"/>
        </w:numPr>
        <w:pStyle w:val="Compact"/>
      </w:pPr>
      <w:r>
        <w:t xml:space="preserve">This Purchase Order becomes effective upon the signature of both the authorized representative of the Jeddah Judicial District and the authorized representative of the supplier. No modifications shall be valid unless made in writing and signed by both parties.</w:t>
      </w:r>
    </w:p>
    <w:bookmarkEnd w:id="26"/>
    <w:p>
      <w:pPr>
        <w:pStyle w:val="FirstParagraph"/>
      </w:pPr>
      <w:r>
        <w:rPr>
          <w:bCs/>
          <w:b/>
        </w:rPr>
        <w:t xml:space="preserve">For and on behalf of the Buyer:</w:t>
      </w:r>
    </w:p>
    <w:p>
      <w:pPr>
        <w:pStyle w:val="BodyText"/>
      </w:pPr>
      <w:r>
        <w:t xml:space="preserve">H.E. Judge Ibrahim Al-Harbi</w:t>
      </w:r>
    </w:p>
    <w:p>
      <w:pPr>
        <w:pStyle w:val="BodyText"/>
      </w:pPr>
      <w:r>
        <w:t xml:space="preserve">Presiding Judge, Jeddah Court of First Instance</w:t>
      </w:r>
    </w:p>
    <w:p>
      <w:pPr>
        <w:pStyle w:val="BodyText"/>
      </w:pPr>
      <w:r>
        <w:t xml:space="preserve">Kingdom of Saudi Arabia</w:t>
      </w:r>
    </w:p>
    <w:p>
      <w:pPr>
        <w:pStyle w:val="BodyText"/>
      </w:pPr>
      <w:r>
        <w:t xml:space="preserve">Signature &amp; Official Seal</w:t>
      </w:r>
    </w:p>
    <w:p>
      <w:pPr>
        <w:pStyle w:val="BodyText"/>
      </w:pPr>
      <w:r>
        <w:rPr>
          <w:bCs/>
          <w:b/>
        </w:rPr>
        <w:t xml:space="preserve">For and on behalf of the Supplier:</w:t>
      </w:r>
    </w:p>
    <w:p>
      <w:pPr>
        <w:pStyle w:val="BodyText"/>
      </w:pPr>
      <w:r>
        <w:t xml:space="preserve">Mr. Khalid Al-Otaibi</w:t>
      </w:r>
    </w:p>
    <w:p>
      <w:pPr>
        <w:pStyle w:val="BodyText"/>
      </w:pPr>
      <w:r>
        <w:t xml:space="preserve">Sales Director, Al-Nakheel Judicial Solutions Co. Ltd.</w:t>
      </w:r>
    </w:p>
    <w:p>
      <w:pPr>
        <w:pStyle w:val="BodyText"/>
      </w:pPr>
      <w:r>
        <w:t xml:space="preserve">Jeddah, Saudi Arabia</w:t>
      </w:r>
    </w:p>
    <w:p>
      <w:pPr>
        <w:pStyle w:val="BodyText"/>
      </w:pPr>
      <w:r>
        <w:t xml:space="preserve">Signature &amp; Company Stamp</w:t>
      </w:r>
    </w:p>
    <w:p>
      <w:pPr>
        <w:pStyle w:val="BodyText"/>
      </w:pPr>
      <w:r>
        <w:t xml:space="preserve">This Purchase Order (PO No. KSA-JED-JUD-2025-04782) was issued by the Jeddah Judicial District, Kingdom of Saudi Arabia, for the procurement of equipment and services for the Judge’s office. This document is valid for a period of 90 days from the date of issue. Unauthorized reproduction or distribution of this document is prohibited under Saudi Arabian law.</w:t>
      </w:r>
    </w:p>
    <w:p>
      <w:pPr>
        <w:pStyle w:val="BodyText"/>
      </w:pPr>
      <w:r>
        <w:t xml:space="preserve">© 2025 Ministry of Justice — Jeddah Judicial District — Kingdom of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Equipment - Jeddah, Saudi Arabia</dc:title>
  <dc:creator/>
  <dc:language>en</dc:language>
  <cp:keywords/>
  <dcterms:created xsi:type="dcterms:W3CDTF">2026-10-10T08:37:57Z</dcterms:created>
  <dcterms:modified xsi:type="dcterms:W3CDTF">2026-10-10T08:37:57Z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