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Judicial</w:t>
      </w:r>
      <w:r>
        <w:t xml:space="preserve"> </w:t>
      </w:r>
      <w:r>
        <w:t xml:space="preserve">Equipment</w:t>
      </w:r>
      <w:r>
        <w:t xml:space="preserve"> </w:t>
      </w:r>
      <w:r>
        <w:t xml:space="preserve">for</w:t>
      </w:r>
      <w:r>
        <w:t xml:space="preserve"> </w:t>
      </w:r>
      <w:r>
        <w:t xml:space="preserve">Judge</w:t>
      </w:r>
      <w:r>
        <w:t xml:space="preserve"> </w:t>
      </w:r>
      <w:r>
        <w:t xml:space="preserve">-</w:t>
      </w:r>
      <w:r>
        <w:t xml:space="preserve"> </w:t>
      </w:r>
      <w:r>
        <w:t xml:space="preserve">Istanbul,</w:t>
      </w:r>
      <w:r>
        <w:t xml:space="preserve"> </w:t>
      </w:r>
      <w:r>
        <w:t xml:space="preserve">Turkey</w:t>
      </w:r>
    </w:p>
    <w:bookmarkStart w:id="20" w:name="purchase-order"/>
    <w:p>
      <w:pPr>
        <w:pStyle w:val="Heading1"/>
      </w:pPr>
      <w:r>
        <w:t xml:space="preserve">PURCHASE ORDER</w:t>
      </w:r>
    </w:p>
    <w:p>
      <w:pPr>
        <w:pStyle w:val="FirstParagraph"/>
      </w:pPr>
      <w:r>
        <w:t xml:space="preserve">Official Procurement Document for Judicial Services &amp; Equipment</w:t>
      </w:r>
    </w:p>
    <w:p>
      <w:pPr>
        <w:pStyle w:val="BodyText"/>
      </w:pPr>
      <w:r>
        <w:t xml:space="preserve">Republic of Turkey — Istanbul Metropolitan Court Administration</w:t>
      </w:r>
    </w:p>
    <w:bookmarkEnd w:id="20"/>
    <w:p>
      <w:pPr>
        <w:pStyle w:val="BodyText"/>
      </w:pPr>
      <w:r>
        <w:rPr>
          <w:bCs/>
          <w:b/>
        </w:rPr>
        <w:t xml:space="preserve">Purchase Order No.:</w:t>
      </w:r>
      <w:r>
        <w:t xml:space="preserve"> </w:t>
      </w:r>
      <w:r>
        <w:t xml:space="preserve">TR-IST-2025-PO-04872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PO Type:</w:t>
      </w:r>
      <w:r>
        <w:t xml:space="preserve"> </w:t>
      </w:r>
      <w:r>
        <w:t xml:space="preserve">Judicial Equipment &amp; Services</w:t>
      </w:r>
      <w:r>
        <w:br/>
      </w:r>
      <w:r>
        <w:rPr>
          <w:bCs/>
          <w:b/>
        </w:rPr>
        <w:t xml:space="preserve">Priority:</w:t>
      </w:r>
      <w:r>
        <w:t xml:space="preserve"> </w:t>
      </w:r>
      <w:r>
        <w:t xml:space="preserve">High — Court Operational</w:t>
      </w:r>
      <w:r>
        <w:br/>
      </w:r>
      <w:r>
        <w:rPr>
          <w:bCs/>
          <w:b/>
        </w:rPr>
        <w:t xml:space="preserve">Currency:</w:t>
      </w:r>
      <w:r>
        <w:t xml:space="preserve"> </w:t>
      </w:r>
      <w:r>
        <w:t xml:space="preserve">Turkish Lira (TRY)</w:t>
      </w:r>
    </w:p>
    <w:p>
      <w:pPr>
        <w:pStyle w:val="BodyText"/>
      </w:pPr>
      <w:r>
        <w:t xml:space="preserve">1. PARTIES INVOLVED</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Name / Entity</w:t>
            </w:r>
          </w:p>
        </w:tc>
        <w:tc>
          <w:tcPr/>
          <w:p>
            <w:pPr>
              <w:pStyle w:val="Compact"/>
              <w:jc w:val="left"/>
            </w:pPr>
            <w:r>
              <w:t xml:space="preserve">Address &amp; Contact</w:t>
            </w:r>
          </w:p>
        </w:tc>
      </w:tr>
      <w:tr>
        <w:tc>
          <w:tcPr/>
          <w:p>
            <w:pPr>
              <w:pStyle w:val="Compact"/>
              <w:jc w:val="left"/>
            </w:pPr>
            <w:r>
              <w:rPr>
                <w:bCs/>
                <w:b/>
              </w:rPr>
              <w:t xml:space="preserve">Buyer (Purchasing Authority)</w:t>
            </w:r>
          </w:p>
        </w:tc>
        <w:tc>
          <w:tcPr/>
          <w:p>
            <w:pPr>
              <w:pStyle w:val="Compact"/>
              <w:jc w:val="left"/>
            </w:pPr>
            <w:r>
              <w:t xml:space="preserve">Istanbul Metropolitan Court Administration, Judicial Procurement Division</w:t>
            </w:r>
          </w:p>
        </w:tc>
        <w:tc>
          <w:tcPr/>
          <w:p>
            <w:pPr>
              <w:pStyle w:val="Compact"/>
              <w:jc w:val="left"/>
            </w:pPr>
            <w:r>
              <w:t xml:space="preserve">Adalet Sarayı, Fatih, 34083 Istanbul, Turkey</w:t>
            </w:r>
            <w:r>
              <w:br/>
            </w:r>
            <w:r>
              <w:t xml:space="preserve">Tel: +90 212 520 4400</w:t>
            </w:r>
            <w:r>
              <w:br/>
            </w:r>
            <w:r>
              <w:t xml:space="preserve">Email: procurement@adalet.gov.tr</w:t>
            </w:r>
          </w:p>
        </w:tc>
      </w:tr>
      <w:tr>
        <w:tc>
          <w:tcPr/>
          <w:p>
            <w:pPr>
              <w:pStyle w:val="Compact"/>
              <w:jc w:val="left"/>
            </w:pPr>
            <w:r>
              <w:rPr>
                <w:bCs/>
                <w:b/>
              </w:rPr>
              <w:t xml:space="preserve">Beneficiary (End User)</w:t>
            </w:r>
          </w:p>
        </w:tc>
        <w:tc>
          <w:tcPr/>
          <w:p>
            <w:pPr>
              <w:pStyle w:val="Compact"/>
              <w:jc w:val="left"/>
            </w:pPr>
            <w:r>
              <w:t xml:space="preserve">Hon. Judge Mehmet Aydın, Presiding Judge, 7th Civil Court of Istanbul</w:t>
            </w:r>
          </w:p>
        </w:tc>
        <w:tc>
          <w:tcPr/>
          <w:p>
            <w:pPr>
              <w:pStyle w:val="Compact"/>
              <w:jc w:val="left"/>
            </w:pPr>
            <w:r>
              <w:t xml:space="preserve">Istanbul Adalet Sarayı, Floor 4, Room 412, Fatih, 34083 Istanbul, Turkey</w:t>
            </w:r>
          </w:p>
        </w:tc>
      </w:tr>
      <w:tr>
        <w:tc>
          <w:tcPr/>
          <w:p>
            <w:pPr>
              <w:pStyle w:val="Compact"/>
              <w:jc w:val="left"/>
            </w:pPr>
            <w:r>
              <w:rPr>
                <w:bCs/>
                <w:b/>
              </w:rPr>
              <w:t xml:space="preserve">Supplier / Vendor</w:t>
            </w:r>
          </w:p>
        </w:tc>
        <w:tc>
          <w:tcPr/>
          <w:p>
            <w:pPr>
              <w:pStyle w:val="Compact"/>
              <w:jc w:val="left"/>
            </w:pPr>
            <w:r>
              <w:t xml:space="preserve">Anadolu Yargı Ekipmanları A.Ş. (Anatolia Judicial Equipment Ltd.)</w:t>
            </w:r>
          </w:p>
        </w:tc>
        <w:tc>
          <w:tcPr/>
          <w:p>
            <w:pPr>
              <w:pStyle w:val="Compact"/>
              <w:jc w:val="left"/>
            </w:pPr>
            <w:r>
              <w:t xml:space="preserve">Atatürk Bulvarı No. 215, Kadıköy, 34710 Istanbul, Turkey</w:t>
            </w:r>
            <w:r>
              <w:br/>
            </w:r>
            <w:r>
              <w:t xml:space="preserve">Tel: +90 216 418 7722</w:t>
            </w:r>
            <w:r>
              <w:br/>
            </w:r>
            <w:r>
              <w:t xml:space="preserve">Tax ID: 1234567890</w:t>
            </w:r>
          </w:p>
        </w:tc>
      </w:tr>
    </w:tbl>
    <w:p>
      <w:pPr>
        <w:pStyle w:val="BodyText"/>
      </w:pPr>
      <w:r>
        <w:t xml:space="preserve">2. DESCRIPTION OF PURCHASE</w:t>
      </w:r>
    </w:p>
    <w:p>
      <w:pPr>
        <w:pStyle w:val="BodyText"/>
      </w:pPr>
      <w:r>
        <w:t xml:space="preserve">This</w:t>
      </w:r>
      <w:r>
        <w:t xml:space="preserve"> </w:t>
      </w:r>
      <w:r>
        <w:t xml:space="preserve">Purchase Order</w:t>
      </w:r>
      <w:r>
        <w:t xml:space="preserve"> </w:t>
      </w:r>
      <w:r>
        <w:t xml:space="preserve">is issued by the Istanbul Metropolitan Court Administration to procure specialized judicial equipment, courtroom technology, and professional services required for the operational duties of</w:t>
      </w:r>
      <w:r>
        <w:t xml:space="preserve"> </w:t>
      </w:r>
      <w:r>
        <w:t xml:space="preserve">Judge</w:t>
      </w:r>
      <w:r>
        <w:t xml:space="preserve"> </w:t>
      </w:r>
      <w:r>
        <w:t xml:space="preserve">Mehmet Aydın, Presiding Judge of the 7th Civil Court, located in the Istanbul Adalet Sarayı (Istanbul Court of Justice Building). The items and services listed below are essential to ensure the Judge can conduct hearings, review case files, issue rulings, and manage courtroom proceedings in full compliance with the Turkish Code of Civil Procedure (HMK No. 6100) and the regulations of the Council of Judges and Prosecutors (HSK) of the Republic of Turkey.</w:t>
      </w:r>
    </w:p>
    <w:p>
      <w:pPr>
        <w:pStyle w:val="BodyText"/>
      </w:pPr>
      <w:r>
        <w:t xml:space="preserve">3.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Total (TRY)</w:t>
            </w:r>
          </w:p>
        </w:tc>
        <w:tc>
          <w:tcPr/>
          <w:p>
            <w:pPr>
              <w:pStyle w:val="Compact"/>
              <w:jc w:val="left"/>
            </w:pPr>
            <w:r>
              <w:t xml:space="preserve">Delivery Date</w:t>
            </w:r>
          </w:p>
        </w:tc>
      </w:tr>
      <w:tr>
        <w:tc>
          <w:tcPr/>
          <w:p>
            <w:pPr>
              <w:pStyle w:val="Compact"/>
              <w:jc w:val="left"/>
            </w:pPr>
            <w:r>
              <w:t xml:space="preserve">1</w:t>
            </w:r>
          </w:p>
        </w:tc>
        <w:tc>
          <w:tcPr/>
          <w:p>
            <w:pPr>
              <w:pStyle w:val="Compact"/>
              <w:jc w:val="left"/>
            </w:pPr>
            <w:r>
              <w:t xml:space="preserve">Executive Judge's Bench Desk, walnut wood, with integrated document tray and cable management, per HSK courtroom standards</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c>
          <w:tcPr/>
          <w:p>
            <w:pPr>
              <w:pStyle w:val="Compact"/>
              <w:jc w:val="left"/>
            </w:pPr>
            <w:r>
              <w:t xml:space="preserve">20 July 2025</w:t>
            </w:r>
          </w:p>
        </w:tc>
      </w:tr>
      <w:tr>
        <w:tc>
          <w:tcPr/>
          <w:p>
            <w:pPr>
              <w:pStyle w:val="Compact"/>
              <w:jc w:val="left"/>
            </w:pPr>
            <w:r>
              <w:t xml:space="preserve">2</w:t>
            </w:r>
          </w:p>
        </w:tc>
        <w:tc>
          <w:tcPr/>
          <w:p>
            <w:pPr>
              <w:pStyle w:val="Compact"/>
              <w:jc w:val="left"/>
            </w:pPr>
            <w:r>
              <w:t xml:space="preserve">Official Judge's Robe (Yargıç Cübbesi), black wool blend, embroidered with Republic of Turkey judicial insignia, size XL</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c>
          <w:tcPr/>
          <w:p>
            <w:pPr>
              <w:pStyle w:val="Compact"/>
              <w:jc w:val="left"/>
            </w:pPr>
            <w:r>
              <w:t xml:space="preserve">20 July 2025</w:t>
            </w:r>
          </w:p>
        </w:tc>
      </w:tr>
      <w:tr>
        <w:tc>
          <w:tcPr/>
          <w:p>
            <w:pPr>
              <w:pStyle w:val="Compact"/>
              <w:jc w:val="left"/>
            </w:pPr>
            <w:r>
              <w:t xml:space="preserve">3</w:t>
            </w:r>
          </w:p>
        </w:tc>
        <w:tc>
          <w:tcPr/>
          <w:p>
            <w:pPr>
              <w:pStyle w:val="Compact"/>
              <w:jc w:val="left"/>
            </w:pPr>
            <w:r>
              <w:t xml:space="preserve">Courtroom Audio-Visual System: 4K display (75"), digital gavel with recording function, 4-channel microphone array, and sound reinforcement for the Judge's bench</w:t>
            </w:r>
          </w:p>
        </w:tc>
        <w:tc>
          <w:tcPr/>
          <w:p>
            <w:pPr>
              <w:pStyle w:val="Compact"/>
              <w:jc w:val="left"/>
            </w:pPr>
            <w:r>
              <w:t xml:space="preserve">1</w:t>
            </w:r>
          </w:p>
        </w:tc>
        <w:tc>
          <w:tcPr/>
          <w:p>
            <w:pPr>
              <w:pStyle w:val="Compact"/>
              <w:jc w:val="left"/>
            </w:pPr>
            <w:r>
              <w:t xml:space="preserve">127,000.00</w:t>
            </w:r>
          </w:p>
        </w:tc>
        <w:tc>
          <w:tcPr/>
          <w:p>
            <w:pPr>
              <w:pStyle w:val="Compact"/>
              <w:jc w:val="left"/>
            </w:pPr>
            <w:r>
              <w:t xml:space="preserve">127,000.00</w:t>
            </w:r>
          </w:p>
        </w:tc>
        <w:tc>
          <w:tcPr/>
          <w:p>
            <w:pPr>
              <w:pStyle w:val="Compact"/>
              <w:jc w:val="left"/>
            </w:pPr>
            <w:r>
              <w:t xml:space="preserve">05 August 2025</w:t>
            </w:r>
          </w:p>
        </w:tc>
      </w:tr>
      <w:tr>
        <w:tc>
          <w:tcPr/>
          <w:p>
            <w:pPr>
              <w:pStyle w:val="Compact"/>
              <w:jc w:val="left"/>
            </w:pPr>
            <w:r>
              <w:t xml:space="preserve">4</w:t>
            </w:r>
          </w:p>
        </w:tc>
        <w:tc>
          <w:tcPr/>
          <w:p>
            <w:pPr>
              <w:pStyle w:val="Compact"/>
              <w:jc w:val="left"/>
            </w:pPr>
            <w:r>
              <w:t xml:space="preserve">Secure Digital Case Management Terminal: encrypted workstation with e-Devlet and UYAP (National Judicial Data Network) integration, for the Judge's private office</w:t>
            </w:r>
          </w:p>
        </w:tc>
        <w:tc>
          <w:tcPr/>
          <w:p>
            <w:pPr>
              <w:pStyle w:val="Compact"/>
              <w:jc w:val="left"/>
            </w:pPr>
            <w:r>
              <w:t xml:space="preserve">1</w:t>
            </w:r>
          </w:p>
        </w:tc>
        <w:tc>
          <w:tcPr/>
          <w:p>
            <w:pPr>
              <w:pStyle w:val="Compact"/>
              <w:jc w:val="left"/>
            </w:pPr>
            <w:r>
              <w:t xml:space="preserve">52,000.00</w:t>
            </w:r>
          </w:p>
        </w:tc>
        <w:tc>
          <w:tcPr/>
          <w:p>
            <w:pPr>
              <w:pStyle w:val="Compact"/>
              <w:jc w:val="left"/>
            </w:pPr>
            <w:r>
              <w:t xml:space="preserve">52,000.00</w:t>
            </w:r>
          </w:p>
        </w:tc>
        <w:tc>
          <w:tcPr/>
          <w:p>
            <w:pPr>
              <w:pStyle w:val="Compact"/>
              <w:jc w:val="left"/>
            </w:pPr>
            <w:r>
              <w:t xml:space="preserve">05 August 2025</w:t>
            </w:r>
          </w:p>
        </w:tc>
      </w:tr>
      <w:tr>
        <w:tc>
          <w:tcPr/>
          <w:p>
            <w:pPr>
              <w:pStyle w:val="Compact"/>
              <w:jc w:val="left"/>
            </w:pPr>
            <w:r>
              <w:t xml:space="preserve">5</w:t>
            </w:r>
          </w:p>
        </w:tc>
        <w:tc>
          <w:tcPr/>
          <w:p>
            <w:pPr>
              <w:pStyle w:val="Compact"/>
              <w:jc w:val="left"/>
            </w:pPr>
            <w:r>
              <w:t xml:space="preserve">Official Gavel (Çekiç), solid oak with brass head, engraved with the seal of the Istanbul 7th Civil Court, with leather case</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20 July 2025</w:t>
            </w:r>
          </w:p>
        </w:tc>
      </w:tr>
      <w:tr>
        <w:tc>
          <w:tcPr/>
          <w:p>
            <w:pPr>
              <w:pStyle w:val="Compact"/>
              <w:jc w:val="left"/>
            </w:pPr>
            <w:r>
              <w:t xml:space="preserve">6</w:t>
            </w:r>
          </w:p>
        </w:tc>
        <w:tc>
          <w:tcPr/>
          <w:p>
            <w:pPr>
              <w:pStyle w:val="Compact"/>
              <w:jc w:val="left"/>
            </w:pPr>
            <w:r>
              <w:t xml:space="preserve">Legal Reference Library Set: 2025 editions of Turkish Civil Code, Code of Civil Procedure, Code of Criminal Procedure, and HSK regulations, hardcover, with annual update subscription</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c>
          <w:tcPr/>
          <w:p>
            <w:pPr>
              <w:pStyle w:val="Compact"/>
              <w:jc w:val="left"/>
            </w:pPr>
            <w:r>
              <w:t xml:space="preserve">20 July 2025</w:t>
            </w:r>
          </w:p>
        </w:tc>
      </w:tr>
      <w:tr>
        <w:tc>
          <w:tcPr/>
          <w:p>
            <w:pPr>
              <w:pStyle w:val="Compact"/>
              <w:jc w:val="left"/>
            </w:pPr>
            <w:r>
              <w:t xml:space="preserve">7</w:t>
            </w:r>
          </w:p>
        </w:tc>
        <w:tc>
          <w:tcPr/>
          <w:p>
            <w:pPr>
              <w:pStyle w:val="Compact"/>
              <w:jc w:val="left"/>
            </w:pPr>
            <w:r>
              <w:t xml:space="preserve">Professional Installation, Calibration &amp; UYAP System Configuration Service for all electronic equipment in the Judge's courtroom and office</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15 August 2025</w:t>
            </w:r>
          </w:p>
        </w:tc>
      </w:tr>
      <w:tr>
        <w:tc>
          <w:tcPr/>
          <w:p>
            <w:pPr>
              <w:pStyle w:val="Compact"/>
              <w:jc w:val="left"/>
            </w:pPr>
            <w:r>
              <w:t xml:space="preserve">8</w:t>
            </w:r>
          </w:p>
        </w:tc>
        <w:tc>
          <w:tcPr/>
          <w:p>
            <w:pPr>
              <w:pStyle w:val="Compact"/>
              <w:jc w:val="left"/>
            </w:pPr>
            <w:r>
              <w:t xml:space="preserve">Two-Year Comprehensive Warranty &amp; Annual Maintenance Contract for all electronic and AV systems listed above</w:t>
            </w:r>
          </w:p>
        </w:tc>
        <w:tc>
          <w:tcPr/>
          <w:p>
            <w:pPr>
              <w:pStyle w:val="Compact"/>
              <w:jc w:val="left"/>
            </w:pPr>
            <w:r>
              <w:t xml:space="preserve">1</w:t>
            </w:r>
          </w:p>
        </w:tc>
        <w:tc>
          <w:tcPr/>
          <w:p>
            <w:pPr>
              <w:pStyle w:val="Compact"/>
              <w:jc w:val="left"/>
            </w:pPr>
            <w:r>
              <w:t xml:space="preserve">15,500.00</w:t>
            </w:r>
          </w:p>
        </w:tc>
        <w:tc>
          <w:tcPr/>
          <w:p>
            <w:pPr>
              <w:pStyle w:val="Compact"/>
              <w:jc w:val="left"/>
            </w:pPr>
            <w:r>
              <w:t xml:space="preserve">15,500.00</w:t>
            </w:r>
          </w:p>
        </w:tc>
        <w:tc>
          <w:tcPr/>
          <w:p>
            <w:pPr>
              <w:pStyle w:val="Compact"/>
              <w:jc w:val="left"/>
            </w:pPr>
            <w:r>
              <w:t xml:space="preserve">15 August 2025</w:t>
            </w:r>
          </w:p>
        </w:tc>
      </w:tr>
      <w:tr>
        <w:tc>
          <w:tcPr>
            <w:gridSpan w:val="4"/>
          </w:tcPr>
          <w:p>
            <w:pPr>
              <w:pStyle w:val="Compact"/>
              <w:jc w:val="right"/>
            </w:pPr>
            <w:r>
              <w:t xml:space="preserve">SUBTOTAL</w:t>
            </w:r>
          </w:p>
        </w:tc>
        <w:tc>
          <w:tcPr/>
          <w:p>
            <w:pPr>
              <w:pStyle w:val="Compact"/>
              <w:jc w:val="left"/>
            </w:pPr>
            <w:r>
              <w:t xml:space="preserve">294,950.00</w:t>
            </w:r>
          </w:p>
        </w:tc>
        <w:tc>
          <w:tcPr/>
          <w:p>
            <w:pPr>
              <w:pStyle w:val="Compact"/>
            </w:pPr>
          </w:p>
        </w:tc>
      </w:tr>
      <w:tr>
        <w:tc>
          <w:tcPr>
            <w:gridSpan w:val="4"/>
          </w:tcPr>
          <w:p>
            <w:pPr>
              <w:pStyle w:val="Compact"/>
              <w:jc w:val="right"/>
            </w:pPr>
            <w:r>
              <w:t xml:space="preserve">VAT (KDV) 20%</w:t>
            </w:r>
          </w:p>
        </w:tc>
        <w:tc>
          <w:tcPr/>
          <w:p>
            <w:pPr>
              <w:pStyle w:val="Compact"/>
              <w:jc w:val="left"/>
            </w:pPr>
            <w:r>
              <w:t xml:space="preserve">58,990.00</w:t>
            </w:r>
          </w:p>
        </w:tc>
        <w:tc>
          <w:tcPr/>
          <w:p>
            <w:pPr>
              <w:pStyle w:val="Compact"/>
            </w:pPr>
          </w:p>
        </w:tc>
      </w:tr>
      <w:tr>
        <w:tc>
          <w:tcPr>
            <w:gridSpan w:val="4"/>
          </w:tcPr>
          <w:p>
            <w:pPr>
              <w:pStyle w:val="Compact"/>
              <w:jc w:val="right"/>
            </w:pPr>
            <w:r>
              <w:t xml:space="preserve">GRAND TOTAL</w:t>
            </w:r>
          </w:p>
        </w:tc>
        <w:tc>
          <w:tcPr/>
          <w:p>
            <w:pPr>
              <w:pStyle w:val="Compact"/>
              <w:jc w:val="left"/>
            </w:pPr>
            <w:r>
              <w:t xml:space="preserve">353,940.00</w:t>
            </w:r>
          </w:p>
        </w:tc>
        <w:tc>
          <w:tcPr/>
          <w:p>
            <w:pPr>
              <w:pStyle w:val="Compact"/>
            </w:pP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Turkey, including the Public Procurement Law (4734) and the Public Procurement Regulation (4735), as applicable to judicial administrative purchases.</w:t>
      </w:r>
    </w:p>
    <w:p>
      <w:pPr>
        <w:numPr>
          <w:ilvl w:val="0"/>
          <w:numId w:val="1001"/>
        </w:numPr>
        <w:pStyle w:val="Compact"/>
      </w:pPr>
      <w:r>
        <w:rPr>
          <w:bCs/>
          <w:b/>
        </w:rPr>
        <w:t xml:space="preserve">Delivery:</w:t>
      </w:r>
      <w:r>
        <w:t xml:space="preserve"> </w:t>
      </w:r>
      <w:r>
        <w:t xml:space="preserve">All items shall be delivered to the Istanbul Adalet Sarayı, Fatih, 34083 Istanbul, Turkey, at the address specified in Section 1. Delivery shall be made during standard court working hours (08:30–17:30, Monday through Friday). The Supplier is responsible for all transportation, insurance, and handling costs within Istanbul metropolitan boundaries.</w:t>
      </w:r>
    </w:p>
    <w:p>
      <w:pPr>
        <w:numPr>
          <w:ilvl w:val="0"/>
          <w:numId w:val="1001"/>
        </w:numPr>
        <w:pStyle w:val="Compact"/>
      </w:pPr>
      <w:r>
        <w:rPr>
          <w:bCs/>
          <w:b/>
        </w:rPr>
        <w:t xml:space="preserve">Acceptance:</w:t>
      </w:r>
      <w:r>
        <w:t xml:space="preserve"> </w:t>
      </w:r>
      <w:r>
        <w:t xml:space="preserve">The Judge or a designated court administrator shall inspect all delivered items within five (5) business days of delivery. Any defects, non-conformities, or missing components must be reported in writing to the Supplier. The Supplier shall rectify or replace non-conforming items within ten (10) business days at no additional cost.</w:t>
      </w:r>
    </w:p>
    <w:p>
      <w:pPr>
        <w:numPr>
          <w:ilvl w:val="0"/>
          <w:numId w:val="1001"/>
        </w:numPr>
        <w:pStyle w:val="Compact"/>
      </w:pPr>
      <w:r>
        <w:rPr>
          <w:bCs/>
          <w:b/>
        </w:rPr>
        <w:t xml:space="preserve">Payment Terms:</w:t>
      </w:r>
      <w:r>
        <w:t xml:space="preserve"> </w:t>
      </w:r>
      <w:r>
        <w:t xml:space="preserve">Payment shall be made via bank transfer to the Supplier's designated account within thirty (30) calendar days following written acceptance of all items and services. The total amount due is</w:t>
      </w:r>
      <w:r>
        <w:t xml:space="preserve"> </w:t>
      </w:r>
      <w:r>
        <w:rPr>
          <w:bCs/>
          <w:b/>
        </w:rPr>
        <w:t xml:space="preserve">TRY 353,940.00</w:t>
      </w:r>
      <w:r>
        <w:t xml:space="preserve"> </w:t>
      </w:r>
      <w:r>
        <w:t xml:space="preserve">(Three Hundred Fifty-Three Thousand Nine Hundred Forty Turkish Lira). Payment is subject to the Supplier providing a valid fatura (invoice) compliant with Turkish tax regulations.</w:t>
      </w:r>
    </w:p>
    <w:p>
      <w:pPr>
        <w:numPr>
          <w:ilvl w:val="0"/>
          <w:numId w:val="1001"/>
        </w:numPr>
        <w:pStyle w:val="Compact"/>
      </w:pPr>
      <w:r>
        <w:rPr>
          <w:bCs/>
          <w:b/>
        </w:rPr>
        <w:t xml:space="preserve">Warranty:</w:t>
      </w:r>
      <w:r>
        <w:t xml:space="preserve"> </w:t>
      </w:r>
      <w:r>
        <w:t xml:space="preserve">All physical goods carry a minimum two-year manufacturer's warranty. Electronic systems are covered under the comprehensive maintenance contract (Item 8). The warranty period commences on the date of written acceptance.</w:t>
      </w:r>
    </w:p>
    <w:p>
      <w:pPr>
        <w:numPr>
          <w:ilvl w:val="0"/>
          <w:numId w:val="1001"/>
        </w:numPr>
        <w:pStyle w:val="Compact"/>
      </w:pPr>
      <w:r>
        <w:rPr>
          <w:bCs/>
          <w:b/>
        </w:rPr>
        <w:t xml:space="preserve">Confidentiality:</w:t>
      </w:r>
      <w:r>
        <w:t xml:space="preserve"> </w:t>
      </w:r>
      <w:r>
        <w:t xml:space="preserve">The Supplier acknowledges that all equipment is intended for use in a judicial setting. The Supplier shall not disclose any information regarding the Judge's identity, case assignments, or courtroom operations to any third party. Breach of confidentiality shall result in immediate contract termination and legal action under Turkish law.</w:t>
      </w:r>
    </w:p>
    <w:p>
      <w:pPr>
        <w:numPr>
          <w:ilvl w:val="0"/>
          <w:numId w:val="1001"/>
        </w:numPr>
        <w:pStyle w:val="Compact"/>
      </w:pPr>
      <w:r>
        <w:rPr>
          <w:bCs/>
          <w:b/>
        </w:rPr>
        <w:t xml:space="preserve">Compliance:</w:t>
      </w:r>
      <w:r>
        <w:t xml:space="preserve"> </w:t>
      </w:r>
      <w:r>
        <w:t xml:space="preserve">All equipment must comply with the technical specifications issued by the HSK (Council of Judges and Prosecutors) and the Ministry of Justice of the Republic of Turkey. The Supplier warrants that all items are new, unused, and free from liens or encumbrances.</w:t>
      </w:r>
    </w:p>
    <w:p>
      <w:pPr>
        <w:numPr>
          <w:ilvl w:val="0"/>
          <w:numId w:val="1001"/>
        </w:numPr>
        <w:pStyle w:val="Compact"/>
      </w:pPr>
      <w:r>
        <w:rPr>
          <w:bCs/>
          <w:b/>
        </w:rPr>
        <w:t xml:space="preserve">Dispute Resolution:</w:t>
      </w:r>
      <w:r>
        <w:t xml:space="preserve"> </w:t>
      </w:r>
      <w:r>
        <w:t xml:space="preserve">Any disputes arising from this Purchase Order shall be resolved by the competent courts in Istanbul, Turkey. The parties agree to attempt mediation through the Istanbul Arbitration Center (ISTAC) before initiating litigation.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of court facilities in Istanbul, or acts of war, as defined under Turkish civil law.</w:t>
      </w:r>
    </w:p>
    <w:p>
      <w:pPr>
        <w:numPr>
          <w:ilvl w:val="0"/>
          <w:numId w:val="1001"/>
        </w:numPr>
        <w:pStyle w:val="Compact"/>
      </w:pPr>
      <w:r>
        <w:rPr>
          <w:bCs/>
          <w:b/>
        </w:rPr>
        <w:t xml:space="preserve">Amendments:</w:t>
      </w:r>
      <w:r>
        <w:t xml:space="preserve"> </w:t>
      </w:r>
      <w:r>
        <w:t xml:space="preserve">This Purchase Order may only be amended in writing, signed by both the Istanbul Metropolitan Court Administration and the Supplier. Verbal agreements are void.</w:t>
      </w:r>
    </w:p>
    <w:p>
      <w:pPr>
        <w:pStyle w:val="FirstParagraph"/>
      </w:pPr>
      <w:r>
        <w:t xml:space="preserve">5. AUTHORIZATION AND SIGNATURES</w:t>
      </w:r>
    </w:p>
    <w:p>
      <w:pPr>
        <w:pStyle w:val="BodyText"/>
      </w:pPr>
      <w:r>
        <w:rPr>
          <w:bCs/>
          <w:b/>
        </w:rPr>
        <w:t xml:space="preserve">For the Buyer (Purchasing Authority):</w:t>
      </w:r>
    </w:p>
    <w:p>
      <w:pPr>
        <w:pStyle w:val="BodyText"/>
      </w:pPr>
      <w:r>
        <w:t xml:space="preserve">Istanbul Metropolitan Court Administration</w:t>
      </w:r>
      <w:r>
        <w:br/>
      </w:r>
      <w:r>
        <w:t xml:space="preserve">Judicial Procurement Division</w:t>
      </w:r>
    </w:p>
    <w:p>
      <w:pPr>
        <w:pStyle w:val="BodyText"/>
      </w:pPr>
      <w:r>
        <w:t xml:space="preserve">Name: Dr. Ayşe Kaya</w:t>
      </w:r>
      <w:r>
        <w:br/>
      </w:r>
      <w:r>
        <w:t xml:space="preserve">Title: Head of Judicial Procurement</w:t>
      </w:r>
      <w:r>
        <w:br/>
      </w:r>
      <w:r>
        <w:t xml:space="preserve">Signature &amp; Date: ______________________</w:t>
      </w:r>
    </w:p>
    <w:p>
      <w:pPr>
        <w:pStyle w:val="BodyText"/>
      </w:pPr>
      <w:r>
        <w:rPr>
          <w:bCs/>
          <w:b/>
        </w:rPr>
        <w:t xml:space="preserve">For the Supplier / Vendor:</w:t>
      </w:r>
    </w:p>
    <w:p>
      <w:pPr>
        <w:pStyle w:val="BodyText"/>
      </w:pPr>
      <w:r>
        <w:t xml:space="preserve">Anadolu Yargı Ekipmanları A.Ş.</w:t>
      </w:r>
      <w:r>
        <w:br/>
      </w:r>
      <w:r>
        <w:t xml:space="preserve">Anatolia Judicial Equipment Ltd.</w:t>
      </w:r>
    </w:p>
    <w:p>
      <w:pPr>
        <w:pStyle w:val="BodyText"/>
      </w:pPr>
      <w:r>
        <w:t xml:space="preserve">Name: Kemal Öztürk</w:t>
      </w:r>
      <w:r>
        <w:br/>
      </w:r>
      <w:r>
        <w:t xml:space="preserve">Title: General Manager</w:t>
      </w:r>
      <w:r>
        <w:br/>
      </w:r>
      <w:r>
        <w:t xml:space="preserve">Signature &amp; Date: ______________________</w:t>
      </w:r>
    </w:p>
    <w:p>
      <w:pPr>
        <w:pStyle w:val="BodyText"/>
      </w:pPr>
      <w:r>
        <w:t xml:space="preserve">[ OFFICIAL STAMP OF THE ISTANBUL METROPOLITAN COURT ADMINISTRATION ]</w:t>
      </w:r>
      <w:r>
        <w:br/>
      </w:r>
      <w:r>
        <w:t xml:space="preserve">[ OFFICIAL STAMP OF ANADOLU YARGI EKİPMANLARI A.Ş. ]</w:t>
      </w:r>
    </w:p>
    <w:p>
      <w:pPr>
        <w:pStyle w:val="BodyText"/>
      </w:pPr>
      <w:r>
        <w:t xml:space="preserve">This Purchase Order document is generated for the Istanbul Metropolitan Court Administration, Republic of Turkey. Document Reference: TR-IST-2025-PO-04872. This document is valid only when bearing the official stamps and signatures of both parties. Unauthorized reproduction or distribution is prohibited under Turkish law. For inquiries, contact the Judicial Procurement Division at procurement@adalet.gov.tr or +90 212 520 4400.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Judicial Equipment for Judge - Istanbul, Turkey</dc:title>
  <dc:creator/>
  <dc:language>en</dc:language>
  <cp:keywords/>
  <dcterms:created xsi:type="dcterms:W3CDTF">2026-10-10T09:31:22Z</dcterms:created>
  <dcterms:modified xsi:type="dcterms:W3CDTF">2026-10-10T09:31:22Z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