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Judicial</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1" w:name="purchase-order"/>
    <w:p>
      <w:pPr>
        <w:pStyle w:val="Heading1"/>
      </w:pPr>
      <w:r>
        <w:t xml:space="preserve">PURCHASE ORDER</w:t>
      </w:r>
    </w:p>
    <w:bookmarkStart w:id="20" w:name="X7193185ecfc4b50567017aa84f6951385edb6f0"/>
    <w:p>
      <w:pPr>
        <w:pStyle w:val="Heading2"/>
      </w:pPr>
      <w:r>
        <w:t xml:space="preserve">Abu Dhabi Judicial Department — United Arab Emirates</w:t>
      </w:r>
    </w:p>
    <w:p>
      <w:pPr>
        <w:pStyle w:val="FirstParagraph"/>
      </w:pPr>
      <w:r>
        <w:t xml:space="preserve">PO No.: ADJ-2025-04782</w:t>
      </w:r>
    </w:p>
    <w:p>
      <w:pPr>
        <w:pStyle w:val="BodyText"/>
      </w:pPr>
      <w:r>
        <w:t xml:space="preserve">United Arab Emirates — Abu Dhabi</w:t>
      </w:r>
    </w:p>
    <w:bookmarkEnd w:id="20"/>
    <w:bookmarkEnd w:id="21"/>
    <w:bookmarkStart w:id="22" w:name="purchase-order-details"/>
    <w:p>
      <w:pPr>
        <w:pStyle w:val="Heading3"/>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ADJ-2025-04782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Delivery Date</w:t>
            </w:r>
          </w:p>
        </w:tc>
        <w:tc>
          <w:tcPr/>
          <w:p>
            <w:pPr>
              <w:pStyle w:val="Compact"/>
              <w:jc w:val="left"/>
            </w:pPr>
            <w:r>
              <w:t xml:space="preserve">30 July 2025</w:t>
            </w:r>
          </w:p>
        </w:tc>
      </w:tr>
      <w:tr>
        <w:tc>
          <w:tcPr/>
          <w:p>
            <w:pPr>
              <w:pStyle w:val="Compact"/>
              <w:jc w:val="left"/>
            </w:pPr>
            <w:r>
              <w:t xml:space="preserve">Currency</w:t>
            </w:r>
          </w:p>
        </w:tc>
        <w:tc>
          <w:tcPr/>
          <w:p>
            <w:pPr>
              <w:pStyle w:val="Compact"/>
              <w:jc w:val="left"/>
            </w:pPr>
            <w:r>
              <w:t xml:space="preserve">United Arab Emirates Dirham (AED)</w:t>
            </w:r>
          </w:p>
        </w:tc>
      </w:tr>
      <w:tr>
        <w:tc>
          <w:tcPr/>
          <w:p>
            <w:pPr>
              <w:pStyle w:val="Compact"/>
              <w:jc w:val="left"/>
            </w:pPr>
            <w:r>
              <w:t xml:space="preserve">Governing Jurisdiction</w:t>
            </w:r>
          </w:p>
        </w:tc>
        <w:tc>
          <w:tcPr/>
          <w:p>
            <w:pPr>
              <w:pStyle w:val="Compact"/>
              <w:jc w:val="left"/>
            </w:pPr>
            <w:r>
              <w:t xml:space="preserve">United Arab Emirates, Abu Dhabi</w:t>
            </w:r>
          </w:p>
        </w:tc>
      </w:tr>
      <w:tr>
        <w:tc>
          <w:tcPr/>
          <w:p>
            <w:pPr>
              <w:pStyle w:val="Compact"/>
              <w:jc w:val="left"/>
            </w:pPr>
            <w:r>
              <w:t xml:space="preserve">Applicable Law</w:t>
            </w:r>
          </w:p>
        </w:tc>
        <w:tc>
          <w:tcPr/>
          <w:p>
            <w:pPr>
              <w:pStyle w:val="Compact"/>
              <w:jc w:val="left"/>
            </w:pPr>
            <w:r>
              <w:t xml:space="preserve">UAE Federal Law No. 18 of 1993 (Civil Transactions Law) and Abu Dhabi Local Regulations</w:t>
            </w:r>
          </w:p>
        </w:tc>
      </w:tr>
    </w:tbl>
    <w:bookmarkEnd w:id="22"/>
    <w:bookmarkStart w:id="23" w:name="buyer-information-issuing-authority"/>
    <w:p>
      <w:pPr>
        <w:pStyle w:val="Heading3"/>
      </w:pPr>
      <w:r>
        <w:t xml:space="preserve">2. Buyer Information (Issuing Authority)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Entity Name</w:t>
            </w:r>
          </w:p>
        </w:tc>
        <w:tc>
          <w:tcPr/>
          <w:p>
            <w:pPr>
              <w:pStyle w:val="Compact"/>
              <w:jc w:val="left"/>
            </w:pPr>
            <w:r>
              <w:t xml:space="preserve">Abu Dhabi Judicial Department, Ministry of Justice, United Arab Emirates</w:t>
            </w:r>
          </w:p>
        </w:tc>
      </w:tr>
      <w:tr>
        <w:tc>
          <w:tcPr/>
          <w:p>
            <w:pPr>
              <w:pStyle w:val="Compact"/>
              <w:jc w:val="left"/>
            </w:pPr>
            <w:r>
              <w:t xml:space="preserve">Address</w:t>
            </w:r>
          </w:p>
        </w:tc>
        <w:tc>
          <w:tcPr/>
          <w:p>
            <w:pPr>
              <w:pStyle w:val="Compact"/>
              <w:jc w:val="left"/>
            </w:pPr>
            <w:r>
              <w:t xml:space="preserve">Al Markaziyah Street, Al Bateen, Abu Dhabi, United Arab Emirates</w:t>
            </w:r>
          </w:p>
        </w:tc>
      </w:tr>
      <w:tr>
        <w:tc>
          <w:tcPr/>
          <w:p>
            <w:pPr>
              <w:pStyle w:val="Compact"/>
              <w:jc w:val="left"/>
            </w:pPr>
            <w:r>
              <w:t xml:space="preserve">TRN (Tax Registration Number)</w:t>
            </w:r>
          </w:p>
        </w:tc>
        <w:tc>
          <w:tcPr/>
          <w:p>
            <w:pPr>
              <w:pStyle w:val="Compact"/>
              <w:jc w:val="left"/>
            </w:pPr>
            <w:r>
              <w:t xml:space="preserve">100212345600003</w:t>
            </w:r>
          </w:p>
        </w:tc>
      </w:tr>
      <w:tr>
        <w:tc>
          <w:tcPr/>
          <w:p>
            <w:pPr>
              <w:pStyle w:val="Compact"/>
              <w:jc w:val="left"/>
            </w:pPr>
            <w:r>
              <w:t xml:space="preserve">Contact Person</w:t>
            </w:r>
          </w:p>
        </w:tc>
        <w:tc>
          <w:tcPr/>
          <w:p>
            <w:pPr>
              <w:pStyle w:val="Compact"/>
              <w:jc w:val="left"/>
            </w:pPr>
            <w:r>
              <w:t xml:space="preserve">Dr. Khalid Al Mansoori, Procurement Director</w:t>
            </w:r>
          </w:p>
        </w:tc>
      </w:tr>
      <w:tr>
        <w:tc>
          <w:tcPr/>
          <w:p>
            <w:pPr>
              <w:pStyle w:val="Compact"/>
              <w:jc w:val="left"/>
            </w:pPr>
            <w:r>
              <w:t xml:space="preserve">Email</w:t>
            </w:r>
          </w:p>
        </w:tc>
        <w:tc>
          <w:tcPr/>
          <w:p>
            <w:pPr>
              <w:pStyle w:val="Compact"/>
              <w:jc w:val="left"/>
            </w:pPr>
            <w:r>
              <w:t xml:space="preserve">procurement@judicial.abudhabi.gov.ae</w:t>
            </w:r>
          </w:p>
        </w:tc>
      </w:tr>
      <w:tr>
        <w:tc>
          <w:tcPr/>
          <w:p>
            <w:pPr>
              <w:pStyle w:val="Compact"/>
              <w:jc w:val="left"/>
            </w:pPr>
            <w:r>
              <w:t xml:space="preserve">Telephone</w:t>
            </w:r>
          </w:p>
        </w:tc>
        <w:tc>
          <w:tcPr/>
          <w:p>
            <w:pPr>
              <w:pStyle w:val="Compact"/>
              <w:jc w:val="left"/>
            </w:pPr>
            <w:r>
              <w:t xml:space="preserve">+971 2 445 6789</w:t>
            </w:r>
          </w:p>
        </w:tc>
      </w:tr>
    </w:tbl>
    <w:bookmarkEnd w:id="23"/>
    <w:bookmarkStart w:id="24" w:name="supplier-vendor-information"/>
    <w:p>
      <w:pPr>
        <w:pStyle w:val="Heading3"/>
      </w:pPr>
      <w:r>
        <w:t xml:space="preserve">3. Supplier / Vendor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Al Noor Judicial Services &amp; Legal Consulting LLC</w:t>
            </w:r>
          </w:p>
        </w:tc>
      </w:tr>
      <w:tr>
        <w:tc>
          <w:tcPr/>
          <w:p>
            <w:pPr>
              <w:pStyle w:val="Compact"/>
              <w:jc w:val="left"/>
            </w:pPr>
            <w:r>
              <w:t xml:space="preserve">Address</w:t>
            </w:r>
          </w:p>
        </w:tc>
        <w:tc>
          <w:tcPr/>
          <w:p>
            <w:pPr>
              <w:pStyle w:val="Compact"/>
              <w:jc w:val="left"/>
            </w:pPr>
            <w:r>
              <w:t xml:space="preserve">Office 12, Level 4, Al Reem Island Business Bay, Abu Dhabi, United Arab Emirates</w:t>
            </w:r>
          </w:p>
        </w:tc>
      </w:tr>
      <w:tr>
        <w:tc>
          <w:tcPr/>
          <w:p>
            <w:pPr>
              <w:pStyle w:val="Compact"/>
              <w:jc w:val="left"/>
            </w:pPr>
            <w:r>
              <w:t xml:space="preserve">Trade License No.</w:t>
            </w:r>
          </w:p>
        </w:tc>
        <w:tc>
          <w:tcPr/>
          <w:p>
            <w:pPr>
              <w:pStyle w:val="Compact"/>
              <w:jc w:val="left"/>
            </w:pPr>
            <w:r>
              <w:t xml:space="preserve">AD-2019-7845321</w:t>
            </w:r>
          </w:p>
        </w:tc>
      </w:tr>
      <w:tr>
        <w:tc>
          <w:tcPr/>
          <w:p>
            <w:pPr>
              <w:pStyle w:val="Compact"/>
              <w:jc w:val="left"/>
            </w:pPr>
            <w:r>
              <w:t xml:space="preserve">TRN</w:t>
            </w:r>
          </w:p>
        </w:tc>
        <w:tc>
          <w:tcPr/>
          <w:p>
            <w:pPr>
              <w:pStyle w:val="Compact"/>
              <w:jc w:val="left"/>
            </w:pPr>
            <w:r>
              <w:t xml:space="preserve">100345678900003</w:t>
            </w:r>
          </w:p>
        </w:tc>
      </w:tr>
      <w:tr>
        <w:tc>
          <w:tcPr/>
          <w:p>
            <w:pPr>
              <w:pStyle w:val="Compact"/>
              <w:jc w:val="left"/>
            </w:pPr>
            <w:r>
              <w:t xml:space="preserve">Contact Person</w:t>
            </w:r>
          </w:p>
        </w:tc>
        <w:tc>
          <w:tcPr/>
          <w:p>
            <w:pPr>
              <w:pStyle w:val="Compact"/>
              <w:jc w:val="left"/>
            </w:pPr>
            <w:r>
              <w:t xml:space="preserve">Ms. Fatima Al Zahra, Account Manager</w:t>
            </w:r>
          </w:p>
        </w:tc>
      </w:tr>
      <w:tr>
        <w:tc>
          <w:tcPr/>
          <w:p>
            <w:pPr>
              <w:pStyle w:val="Compact"/>
              <w:jc w:val="left"/>
            </w:pPr>
            <w:r>
              <w:t xml:space="preserve">Email</w:t>
            </w:r>
          </w:p>
        </w:tc>
        <w:tc>
          <w:tcPr/>
          <w:p>
            <w:pPr>
              <w:pStyle w:val="Compact"/>
              <w:jc w:val="left"/>
            </w:pPr>
            <w:r>
              <w:t xml:space="preserve">fatima@alnoorjudicial.ae</w:t>
            </w:r>
          </w:p>
        </w:tc>
      </w:tr>
    </w:tbl>
    <w:bookmarkEnd w:id="24"/>
    <w:bookmarkStart w:id="25" w:name="X90099151b19cdf5fe91799b8d499c443eea1978"/>
    <w:p>
      <w:pPr>
        <w:pStyle w:val="Heading3"/>
      </w:pPr>
      <w:r>
        <w:t xml:space="preserve">4. Scope of Purchase — Judicial Services and Equipment for the Judge</w:t>
      </w:r>
    </w:p>
    <w:p>
      <w:pPr>
        <w:pStyle w:val="FirstParagraph"/>
      </w:pPr>
      <w:r>
        <w:t xml:space="preserve">This Purchase Order is issued by the Abu Dhabi Judicial Department to procure professional judicial support services, specialized equipment, and administrative resources required for the operational functioning of a Judge presiding over civil and commercial matters at the Abu Dhabi Court of First Instance. The services and goods listed below are intended to ensure the Judge is fully equipped to discharge judicial duties in accordance with the laws of the United Arab Emirates and the regulations of Abu Dhabi.</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1</w:t>
            </w:r>
          </w:p>
        </w:tc>
        <w:tc>
          <w:tcPr/>
          <w:p>
            <w:pPr>
              <w:pStyle w:val="Compact"/>
              <w:jc w:val="left"/>
            </w:pPr>
            <w:r>
              <w:t xml:space="preserve">Engagement of a qualified Judge (Civil &amp; Commercial Division) for a period of twelve (12) months, including full-time judicial services at the Abu Dhabi Court of First Instance, United Arab Emirates</w:t>
            </w:r>
          </w:p>
        </w:tc>
        <w:tc>
          <w:tcPr/>
          <w:p>
            <w:pPr>
              <w:pStyle w:val="Compact"/>
              <w:jc w:val="left"/>
            </w:pPr>
            <w:r>
              <w:t xml:space="preserve">1</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2</w:t>
            </w:r>
          </w:p>
        </w:tc>
        <w:tc>
          <w:tcPr/>
          <w:p>
            <w:pPr>
              <w:pStyle w:val="Compact"/>
              <w:jc w:val="left"/>
            </w:pPr>
            <w:r>
              <w:t xml:space="preserve">Provision of a dedicated judicial office suite (approximately 85 sqm) within the Abu Dhabi Judicial Complex, fully furnished with ergonomic furniture, secure filing systems, and climate control</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3</w:t>
            </w:r>
          </w:p>
        </w:tc>
        <w:tc>
          <w:tcPr/>
          <w:p>
            <w:pPr>
              <w:pStyle w:val="Compact"/>
              <w:jc w:val="left"/>
            </w:pPr>
            <w:r>
              <w:t xml:space="preserve">Supply and installation of a secure digital case management system (licensed for one Judge user), including hardware (dual-monitor workstation, encrypted storage, biometric access terminal) and annual software maintenance</w:t>
            </w:r>
          </w:p>
        </w:tc>
        <w:tc>
          <w:tcPr/>
          <w:p>
            <w:pPr>
              <w:pStyle w:val="Compact"/>
              <w:jc w:val="left"/>
            </w:pPr>
            <w:r>
              <w:t xml:space="preserve">1</w:t>
            </w:r>
          </w:p>
        </w:tc>
        <w:tc>
          <w:tcPr/>
          <w:p>
            <w:pPr>
              <w:pStyle w:val="Compact"/>
              <w:jc w:val="left"/>
            </w:pPr>
            <w:r>
              <w:t xml:space="preserve">96,500.00</w:t>
            </w:r>
          </w:p>
        </w:tc>
        <w:tc>
          <w:tcPr/>
          <w:p>
            <w:pPr>
              <w:pStyle w:val="Compact"/>
              <w:jc w:val="left"/>
            </w:pPr>
            <w:r>
              <w:t xml:space="preserve">96,500.00</w:t>
            </w:r>
          </w:p>
        </w:tc>
      </w:tr>
      <w:tr>
        <w:tc>
          <w:tcPr/>
          <w:p>
            <w:pPr>
              <w:pStyle w:val="Compact"/>
              <w:jc w:val="left"/>
            </w:pPr>
            <w:r>
              <w:t xml:space="preserve">4</w:t>
            </w:r>
          </w:p>
        </w:tc>
        <w:tc>
          <w:tcPr/>
          <w:p>
            <w:pPr>
              <w:pStyle w:val="Compact"/>
              <w:jc w:val="left"/>
            </w:pPr>
            <w:r>
              <w:t xml:space="preserve">Provision of two (2) certified legal interpreters (Arabic-English) available on call for the Judge during court sessions in Abu Dhabi, at a rate of AED 1,200 per day, estimated 60 days per annum</w:t>
            </w:r>
          </w:p>
        </w:tc>
        <w:tc>
          <w:tcPr/>
          <w:p>
            <w:pPr>
              <w:pStyle w:val="Compact"/>
              <w:jc w:val="left"/>
            </w:pPr>
            <w:r>
              <w:t xml:space="preserve">60</w:t>
            </w:r>
          </w:p>
        </w:tc>
        <w:tc>
          <w:tcPr/>
          <w:p>
            <w:pPr>
              <w:pStyle w:val="Compact"/>
              <w:jc w:val="left"/>
            </w:pPr>
            <w:r>
              <w:t xml:space="preserve">1,200.00</w:t>
            </w:r>
          </w:p>
        </w:tc>
        <w:tc>
          <w:tcPr/>
          <w:p>
            <w:pPr>
              <w:pStyle w:val="Compact"/>
              <w:jc w:val="left"/>
            </w:pPr>
            <w:r>
              <w:t xml:space="preserve">72,000.00</w:t>
            </w:r>
          </w:p>
        </w:tc>
      </w:tr>
      <w:tr>
        <w:tc>
          <w:tcPr/>
          <w:p>
            <w:pPr>
              <w:pStyle w:val="Compact"/>
              <w:jc w:val="left"/>
            </w:pPr>
            <w:r>
              <w:t xml:space="preserve">5</w:t>
            </w:r>
          </w:p>
        </w:tc>
        <w:tc>
          <w:tcPr/>
          <w:p>
            <w:pPr>
              <w:pStyle w:val="Compact"/>
              <w:jc w:val="left"/>
            </w:pPr>
            <w:r>
              <w:t xml:space="preserve">Annual subscription to the UAE Federal Judicial Database, Abu Dhabi Court Precedent Repository, and international legal research platforms (Westlaw, LexisNexis) for the Judge’s reference</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6</w:t>
            </w:r>
          </w:p>
        </w:tc>
        <w:tc>
          <w:tcPr/>
          <w:p>
            <w:pPr>
              <w:pStyle w:val="Compact"/>
              <w:jc w:val="left"/>
            </w:pPr>
            <w:r>
              <w:t xml:space="preserve">Provision of a dedicated judicial assistant (bilingual, minimum 5 years’ experience in UAE civil litigation) for the Judge’s administrative and case-preparation support, 12-month contract</w:t>
            </w:r>
          </w:p>
        </w:tc>
        <w:tc>
          <w:tcPr/>
          <w:p>
            <w:pPr>
              <w:pStyle w:val="Compact"/>
              <w:jc w:val="left"/>
            </w:pPr>
            <w:r>
              <w:t xml:space="preserve">1</w:t>
            </w:r>
          </w:p>
        </w:tc>
        <w:tc>
          <w:tcPr/>
          <w:p>
            <w:pPr>
              <w:pStyle w:val="Compact"/>
              <w:jc w:val="left"/>
            </w:pPr>
            <w:r>
              <w:t xml:space="preserve">144,000.00</w:t>
            </w:r>
          </w:p>
        </w:tc>
        <w:tc>
          <w:tcPr/>
          <w:p>
            <w:pPr>
              <w:pStyle w:val="Compact"/>
              <w:jc w:val="left"/>
            </w:pPr>
            <w:r>
              <w:t xml:space="preserve">144,000.00</w:t>
            </w:r>
          </w:p>
        </w:tc>
      </w:tr>
      <w:tr>
        <w:tc>
          <w:tcPr/>
          <w:p>
            <w:pPr>
              <w:pStyle w:val="Compact"/>
              <w:jc w:val="left"/>
            </w:pPr>
            <w:r>
              <w:t xml:space="preserve">7</w:t>
            </w:r>
          </w:p>
        </w:tc>
        <w:tc>
          <w:tcPr/>
          <w:p>
            <w:pPr>
              <w:pStyle w:val="Compact"/>
              <w:jc w:val="left"/>
            </w:pPr>
            <w:r>
              <w:t xml:space="preserve">Security clearance processing, background verification, and annual compliance audit for the Judge and all support personnel in accordance with Abu Dhabi government security protocols</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gridSpan w:val="4"/>
          </w:tcPr>
          <w:p>
            <w:pPr>
              <w:pStyle w:val="Compact"/>
              <w:jc w:val="left"/>
            </w:pPr>
            <w:r>
              <w:t xml:space="preserve">TOTAL PURCHASE ORDER VALUE (AED)</w:t>
            </w:r>
          </w:p>
        </w:tc>
        <w:tc>
          <w:tcPr/>
          <w:p>
            <w:pPr>
              <w:pStyle w:val="Compact"/>
              <w:jc w:val="left"/>
            </w:pPr>
            <w:r>
              <w:t xml:space="preserve">1,758,000.00</w:t>
            </w:r>
          </w:p>
        </w:tc>
      </w:tr>
    </w:tbl>
    <w:bookmarkEnd w:id="25"/>
    <w:bookmarkStart w:id="26" w:name="terms-and-conditions"/>
    <w:p>
      <w:pPr>
        <w:pStyle w:val="Heading3"/>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federal laws of the United Arab Emirates, specifically the UAE Civil Transactions Law (Federal Law No. 18 of 1993), the UAE Commercial Transactions Law (Federal Law No. 18 of 1993), and all applicable local regulations of the Emirate of Abu Dhabi.</w:t>
      </w:r>
    </w:p>
    <w:p>
      <w:pPr>
        <w:numPr>
          <w:ilvl w:val="0"/>
          <w:numId w:val="1001"/>
        </w:numPr>
        <w:pStyle w:val="Compact"/>
      </w:pPr>
      <w:r>
        <w:rPr>
          <w:bCs/>
          <w:b/>
        </w:rPr>
        <w:t xml:space="preserve">Dispute Resolution:</w:t>
      </w:r>
      <w:r>
        <w:t xml:space="preserve"> </w:t>
      </w:r>
      <w:r>
        <w:t xml:space="preserve">Any dispute arising out of or in connection with this Purchase Order shall be referred to the Abu Dhabi Courts. The parties irrevocably submit to the exclusive jurisdiction of the courts of Abu Dhabi, United Arab Emirates.</w:t>
      </w:r>
    </w:p>
    <w:p>
      <w:pPr>
        <w:numPr>
          <w:ilvl w:val="0"/>
          <w:numId w:val="1001"/>
        </w:numPr>
        <w:pStyle w:val="Compact"/>
      </w:pPr>
      <w:r>
        <w:rPr>
          <w:bCs/>
          <w:b/>
        </w:rPr>
        <w:t xml:space="preserve">Payment Terms:</w:t>
      </w:r>
      <w:r>
        <w:t xml:space="preserve"> </w:t>
      </w:r>
      <w:r>
        <w:t xml:space="preserve">Payment shall be made within thirty (30) calendar days from the date of receipt of a valid tax invoice. Payment shall be processed via bank transfer to the supplier’s designated account in the United Arab Emirates. All amounts are stated in United Arab Emirates Dirhams (AED) and are inclusive of applicable Value Added Tax (VAT) at the rate of 5% as per UAE Federal Decree-Law No. 8 of 2017.</w:t>
      </w:r>
    </w:p>
    <w:p>
      <w:pPr>
        <w:numPr>
          <w:ilvl w:val="0"/>
          <w:numId w:val="1001"/>
        </w:numPr>
        <w:pStyle w:val="Compact"/>
      </w:pPr>
      <w:r>
        <w:rPr>
          <w:bCs/>
          <w:b/>
        </w:rPr>
        <w:t xml:space="preserve">Performance and Delivery:</w:t>
      </w:r>
      <w:r>
        <w:t xml:space="preserve"> </w:t>
      </w:r>
      <w:r>
        <w:t xml:space="preserve">The supplier shall ensure that all services, personnel, and equipment specified in this Purchase Order are fully operational and in place no later than 30 July 2025. The Judge and all support staff must be available at the Abu Dhabi Judicial Complex from the first business day of August 2025.</w:t>
      </w:r>
    </w:p>
    <w:p>
      <w:pPr>
        <w:numPr>
          <w:ilvl w:val="0"/>
          <w:numId w:val="1001"/>
        </w:numPr>
        <w:pStyle w:val="Compact"/>
      </w:pPr>
      <w:r>
        <w:rPr>
          <w:bCs/>
          <w:b/>
        </w:rPr>
        <w:t xml:space="preserve">Confidentiality:</w:t>
      </w:r>
      <w:r>
        <w:t xml:space="preserve"> </w:t>
      </w:r>
      <w:r>
        <w:t xml:space="preserve">The supplier and all personnel engaged under this Purchase Order shall maintain strict confidentiality regarding all judicial proceedings, case files, and personal data handled by the Judge. Breach of confidentiality shall constitute grounds for immediate termination and may result in criminal prosecution under UAE Federal Law No. 34 of 2021 (Cybercrime Law) and Abu Dhabi data protection regulations.</w:t>
      </w:r>
    </w:p>
    <w:p>
      <w:pPr>
        <w:numPr>
          <w:ilvl w:val="0"/>
          <w:numId w:val="1001"/>
        </w:numPr>
        <w:pStyle w:val="Compact"/>
      </w:pPr>
      <w:r>
        <w:rPr>
          <w:bCs/>
          <w:b/>
        </w:rPr>
        <w:t xml:space="preserve">Compliance:</w:t>
      </w:r>
      <w:r>
        <w:t xml:space="preserve"> </w:t>
      </w:r>
      <w:r>
        <w:t xml:space="preserve">The supplier warrants that the Judge and all support personnel hold valid UAE residence permits, professional certifications recognized by the Abu Dhabi Judicial Department, and are in full compliance with UAE labor law (Federal Decree-Law No. 33 of 2021).</w:t>
      </w:r>
    </w:p>
    <w:p>
      <w:pPr>
        <w:numPr>
          <w:ilvl w:val="0"/>
          <w:numId w:val="1001"/>
        </w:numPr>
        <w:pStyle w:val="Compact"/>
      </w:pPr>
      <w:r>
        <w:rPr>
          <w:bCs/>
          <w:b/>
        </w:rPr>
        <w:t xml:space="preserve">Termination:</w:t>
      </w:r>
      <w:r>
        <w:t xml:space="preserve"> </w:t>
      </w:r>
      <w:r>
        <w:t xml:space="preserve">Either party may terminate this Purchase Order with sixty (60) days’ written notice. The Abu Dhabi Judicial Department reserves the right to terminate immediately in the event of material breach, misconduct, or failure to meet performance standards.</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acts of God, war, terrorism, or government directives issued by the authorities of the United Arab Emirates or Abu Dhabi.</w:t>
      </w:r>
    </w:p>
    <w:p>
      <w:pPr>
        <w:numPr>
          <w:ilvl w:val="0"/>
          <w:numId w:val="1001"/>
        </w:numPr>
        <w:pStyle w:val="Compact"/>
      </w:pPr>
      <w:r>
        <w:rPr>
          <w:bCs/>
          <w:b/>
        </w:rPr>
        <w:t xml:space="preserve">Anti-Corruption:</w:t>
      </w:r>
      <w:r>
        <w:t xml:space="preserve"> </w:t>
      </w:r>
      <w:r>
        <w:t xml:space="preserve">The supplier certifies that no bribe, kickback, or improper payment has been made or will be made in connection with this Purchase Order, in compliance with UAE Federal Law No. 3 of 2016 on Anti-Money Laundering and Abu Dhabi anti-corruption regulations.</w:t>
      </w:r>
    </w:p>
    <w:bookmarkEnd w:id="26"/>
    <w:bookmarkStart w:id="27" w:name="delivery-and-performance-location"/>
    <w:p>
      <w:pPr>
        <w:pStyle w:val="Heading3"/>
      </w:pPr>
      <w:r>
        <w:t xml:space="preserve">6. Delivery and Performance Location</w:t>
      </w:r>
    </w:p>
    <w:p>
      <w:pPr>
        <w:pStyle w:val="FirstParagraph"/>
      </w:pPr>
      <w:r>
        <w:t xml:space="preserve">All services rendered and goods delivered under this Purchase Order shall be provided at or for the use of the Abu Dhabi Judicial Complex, Al Markaziyah Street, Al Bateen, Abu Dhabi, United Arab Emirates. The Judge shall preside over hearings and perform all judicial functions at the Abu Dhabi Court of First Instance unless otherwise directed by the Chief Justice of Abu Dhabi.</w:t>
      </w:r>
    </w:p>
    <w:bookmarkEnd w:id="27"/>
    <w:bookmarkStart w:id="28" w:name="authorization-and-signatures"/>
    <w:p>
      <w:pPr>
        <w:pStyle w:val="Heading3"/>
      </w:pPr>
      <w:r>
        <w:t xml:space="preserve">7. Authorization and Signatures</w:t>
      </w:r>
    </w:p>
    <w:p>
      <w:pPr>
        <w:pStyle w:val="FirstParagraph"/>
      </w:pPr>
      <w:r>
        <w:rPr>
          <w:bCs/>
          <w:b/>
        </w:rPr>
        <w:t xml:space="preserve">For and on behalf of the Buyer:</w:t>
      </w:r>
    </w:p>
    <w:p>
      <w:pPr>
        <w:pStyle w:val="BodyText"/>
      </w:pPr>
      <w:r>
        <w:t xml:space="preserve">Abu Dhabi Judicial Department</w:t>
      </w:r>
      <w:r>
        <w:br/>
      </w:r>
      <w:r>
        <w:t xml:space="preserve">United Arab Emirates</w:t>
      </w:r>
    </w:p>
    <w:p>
      <w:pPr>
        <w:pStyle w:val="BodyText"/>
      </w:pPr>
      <w:r>
        <w:rPr>
          <w:bCs/>
          <w:b/>
        </w:rPr>
        <w:t xml:space="preserve">Name:</w:t>
      </w:r>
      <w:r>
        <w:t xml:space="preserve"> </w:t>
      </w:r>
      <w:r>
        <w:t xml:space="preserve">Dr. Khalid Al Mansoori</w:t>
      </w:r>
      <w:r>
        <w:br/>
      </w:r>
      <w:r>
        <w:rPr>
          <w:bCs/>
          <w:b/>
        </w:rPr>
        <w:t xml:space="preserve">Title:</w:t>
      </w:r>
      <w:r>
        <w:t xml:space="preserve"> </w:t>
      </w:r>
      <w:r>
        <w:t xml:space="preserve">Procurement Director</w:t>
      </w:r>
      <w:r>
        <w:br/>
      </w:r>
      <w:r>
        <w:rPr>
          <w:bCs/>
          <w:b/>
        </w:rPr>
        <w:t xml:space="preserve">Date:</w:t>
      </w:r>
      <w:r>
        <w:t xml:space="preserve"> </w:t>
      </w:r>
      <w:r>
        <w:t xml:space="preserve">_______________</w:t>
      </w:r>
      <w:r>
        <w:br/>
      </w:r>
      <w:r>
        <w:rPr>
          <w:bCs/>
          <w:b/>
        </w:rPr>
        <w:t xml:space="preserve">Signature &amp; Official Stamp:</w:t>
      </w:r>
    </w:p>
    <w:p>
      <w:pPr>
        <w:pStyle w:val="BodyText"/>
      </w:pPr>
      <w:r>
        <w:rPr>
          <w:bCs/>
          <w:b/>
        </w:rPr>
        <w:t xml:space="preserve">For and on behalf of the Supplier:</w:t>
      </w:r>
    </w:p>
    <w:p>
      <w:pPr>
        <w:pStyle w:val="BodyText"/>
      </w:pPr>
      <w:r>
        <w:t xml:space="preserve">Al Noor Judicial Services &amp; Legal Consulting LLC</w:t>
      </w:r>
      <w:r>
        <w:br/>
      </w:r>
      <w:r>
        <w:t xml:space="preserve">Abu Dhabi, United Arab Emirates</w:t>
      </w:r>
    </w:p>
    <w:p>
      <w:pPr>
        <w:pStyle w:val="BodyText"/>
      </w:pPr>
      <w:r>
        <w:rPr>
          <w:bCs/>
          <w:b/>
        </w:rPr>
        <w:t xml:space="preserve">Name:</w:t>
      </w:r>
      <w:r>
        <w:t xml:space="preserve"> </w:t>
      </w:r>
      <w:r>
        <w:t xml:space="preserve">Ms. Fatima Al Zahra</w:t>
      </w:r>
      <w:r>
        <w:br/>
      </w:r>
      <w:r>
        <w:rPr>
          <w:bCs/>
          <w:b/>
        </w:rPr>
        <w:t xml:space="preserve">Title:</w:t>
      </w:r>
      <w:r>
        <w:t xml:space="preserve"> </w:t>
      </w:r>
      <w:r>
        <w:t xml:space="preserve">Account Manager / Authorized Signatory</w:t>
      </w:r>
      <w:r>
        <w:br/>
      </w:r>
      <w:r>
        <w:rPr>
          <w:bCs/>
          <w:b/>
        </w:rPr>
        <w:t xml:space="preserve">Date:</w:t>
      </w:r>
      <w:r>
        <w:t xml:space="preserve"> </w:t>
      </w:r>
      <w:r>
        <w:t xml:space="preserve">_______________</w:t>
      </w:r>
      <w:r>
        <w:br/>
      </w:r>
      <w:r>
        <w:rPr>
          <w:bCs/>
          <w:b/>
        </w:rPr>
        <w:t xml:space="preserve">Signature &amp; Company Stamp:</w:t>
      </w:r>
    </w:p>
    <w:bookmarkEnd w:id="28"/>
    <w:p>
      <w:pPr>
        <w:pStyle w:val="BodyText"/>
      </w:pPr>
      <w:r>
        <w:t xml:space="preserve">This Purchase Order (ADJ-2025-04782) is issued by the Abu Dhabi Judicial Department, United Arab Emirates, for the procurement of judicial services and equipment supporting the Judge at the Abu Dhabi Court of First Instance. This document is valid only when signed and stamped by both parties. All communications regarding this Purchase Order shall be directed to the contact persons listed above. © 2025 Abu Dhabi Judicial Department, United Arab Emirates.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Judicial Services - United Arab Emirates Abu Dhabi</dc:title>
  <dc:creator/>
  <dc:language>en</dc:language>
  <cp:keywords/>
  <dcterms:created xsi:type="dcterms:W3CDTF">2026-10-10T09:09:15Z</dcterms:created>
  <dcterms:modified xsi:type="dcterms:W3CDTF">2026-10-10T09:09:15Z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