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Legal Professional Services — Australia Melbourne</w:t>
      </w:r>
    </w:p>
    <w:p>
      <w:pPr>
        <w:pStyle w:val="BodyText"/>
      </w:pPr>
      <w:r>
        <w:t xml:space="preserve">Issued by: Meridian Corporate Holdings Pty Ltd</w:t>
      </w:r>
    </w:p>
    <w:p>
      <w:pPr>
        <w:pStyle w:val="BodyText"/>
      </w:pPr>
      <w:r>
        <w:t xml:space="preserve">ABN: 48 217 639 054 | Level 12, 333 Collins Street, Melbourne, Victoria 3000, Australia</w:t>
      </w:r>
    </w:p>
    <w:bookmarkEnd w:id="20"/>
    <w:p>
      <w:pPr>
        <w:pStyle w:val="BodyText"/>
      </w:pPr>
      <w:r>
        <w:t xml:space="preserve">PO No: MCH-2025-04782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MCH-2025-04782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Service Date</w:t>
            </w:r>
          </w:p>
        </w:tc>
        <w:tc>
          <w:tcPr/>
          <w:p>
            <w:pPr>
              <w:pStyle w:val="Compact"/>
              <w:jc w:val="left"/>
            </w:pPr>
            <w:r>
              <w:t xml:space="preserve">1 July 2025</w:t>
            </w:r>
          </w:p>
        </w:tc>
      </w:tr>
      <w:tr>
        <w:tc>
          <w:tcPr/>
          <w:p>
            <w:pPr>
              <w:pStyle w:val="Compact"/>
              <w:jc w:val="left"/>
            </w:pPr>
            <w:r>
              <w:t xml:space="preserve">Delivery / Service Location</w:t>
            </w:r>
          </w:p>
        </w:tc>
        <w:tc>
          <w:tcPr/>
          <w:p>
            <w:pPr>
              <w:pStyle w:val="Compact"/>
              <w:jc w:val="left"/>
            </w:pPr>
            <w:r>
              <w:t xml:space="preserve">Level 12, 333 Collins Street, Melbourne, Victoria 3000, Australia</w:t>
            </w:r>
          </w:p>
        </w:tc>
      </w:tr>
      <w:tr>
        <w:tc>
          <w:tcPr/>
          <w:p>
            <w:pPr>
              <w:pStyle w:val="Compact"/>
              <w:jc w:val="left"/>
            </w:pPr>
            <w:r>
              <w:t xml:space="preserve">Issuing Entity</w:t>
            </w:r>
          </w:p>
        </w:tc>
        <w:tc>
          <w:tcPr/>
          <w:p>
            <w:pPr>
              <w:pStyle w:val="Compact"/>
              <w:jc w:val="left"/>
            </w:pPr>
            <w:r>
              <w:t xml:space="preserve">Meridian Corporate Holdings Pty Ltd (ACN 084 552 197)</w:t>
            </w:r>
          </w:p>
        </w:tc>
      </w:tr>
      <w:tr>
        <w:tc>
          <w:tcPr/>
          <w:p>
            <w:pPr>
              <w:pStyle w:val="Compact"/>
              <w:jc w:val="left"/>
            </w:pPr>
            <w:r>
              <w:t xml:space="preserve">Authorised Officer</w:t>
            </w:r>
          </w:p>
        </w:tc>
        <w:tc>
          <w:tcPr/>
          <w:p>
            <w:pPr>
              <w:pStyle w:val="Compact"/>
              <w:jc w:val="left"/>
            </w:pPr>
            <w:r>
              <w:t xml:space="preserve">Dr. Eleanor V. Whitfield, Chief Financial Officer</w:t>
            </w:r>
          </w:p>
        </w:tc>
      </w:tr>
      <w:tr>
        <w:tc>
          <w:tcPr/>
          <w:p>
            <w:pPr>
              <w:pStyle w:val="Compact"/>
              <w:jc w:val="left"/>
            </w:pPr>
            <w:r>
              <w:t xml:space="preserve">Department</w:t>
            </w:r>
          </w:p>
        </w:tc>
        <w:tc>
          <w:tcPr/>
          <w:p>
            <w:pPr>
              <w:pStyle w:val="Compact"/>
              <w:jc w:val="left"/>
            </w:pPr>
            <w:r>
              <w:t xml:space="preserve">Corporate Legal &amp; Compliance Division</w:t>
            </w:r>
          </w:p>
        </w:tc>
      </w:tr>
    </w:tbl>
    <w:bookmarkEnd w:id="21"/>
    <w:bookmarkStart w:id="22" w:name="vendor-lawyer-information"/>
    <w:p>
      <w:pPr>
        <w:pStyle w:val="Heading2"/>
      </w:pPr>
      <w:r>
        <w:t xml:space="preserve">2. Vendor / Lawyer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Lawyer / Firm Name</w:t>
            </w:r>
          </w:p>
        </w:tc>
        <w:tc>
          <w:tcPr/>
          <w:p>
            <w:pPr>
              <w:pStyle w:val="Compact"/>
              <w:jc w:val="left"/>
            </w:pPr>
            <w:r>
              <w:t xml:space="preserve">Harper &amp; Calloway Legal Partners LLP</w:t>
            </w:r>
          </w:p>
        </w:tc>
      </w:tr>
      <w:tr>
        <w:tc>
          <w:tcPr/>
          <w:p>
            <w:pPr>
              <w:pStyle w:val="Compact"/>
              <w:jc w:val="left"/>
            </w:pPr>
            <w:r>
              <w:t xml:space="preserve">Principal Lawyer</w:t>
            </w:r>
          </w:p>
        </w:tc>
        <w:tc>
          <w:tcPr/>
          <w:p>
            <w:pPr>
              <w:pStyle w:val="Compact"/>
              <w:jc w:val="left"/>
            </w:pPr>
            <w:r>
              <w:t xml:space="preserve">Mr. Jonathan R. Harper, Solicitor &amp; Barrister (Admitted in Victoria, Australia)</w:t>
            </w:r>
          </w:p>
        </w:tc>
      </w:tr>
      <w:tr>
        <w:tc>
          <w:tcPr/>
          <w:p>
            <w:pPr>
              <w:pStyle w:val="Compact"/>
              <w:jc w:val="left"/>
            </w:pPr>
            <w:r>
              <w:t xml:space="preserve">Lawyer Address</w:t>
            </w:r>
          </w:p>
        </w:tc>
        <w:tc>
          <w:tcPr/>
          <w:p>
            <w:pPr>
              <w:pStyle w:val="Compact"/>
              <w:jc w:val="left"/>
            </w:pPr>
            <w:r>
              <w:t xml:space="preserve">Suite 5, Level 28, 120 Swanston Street, Melbourne, Victoria 3000, Australia</w:t>
            </w:r>
          </w:p>
        </w:tc>
      </w:tr>
      <w:tr>
        <w:tc>
          <w:tcPr/>
          <w:p>
            <w:pPr>
              <w:pStyle w:val="Compact"/>
              <w:jc w:val="left"/>
            </w:pPr>
            <w:r>
              <w:t xml:space="preserve">Lawyer Contact</w:t>
            </w:r>
          </w:p>
        </w:tc>
        <w:tc>
          <w:tcPr/>
          <w:p>
            <w:pPr>
              <w:pStyle w:val="Compact"/>
              <w:jc w:val="left"/>
            </w:pPr>
            <w:r>
              <w:t xml:space="preserve">Phone: +61 3 9662 4410 | Email: j.harper@harpercalloway.com.au</w:t>
            </w:r>
          </w:p>
        </w:tc>
      </w:tr>
      <w:tr>
        <w:tc>
          <w:tcPr/>
          <w:p>
            <w:pPr>
              <w:pStyle w:val="Compact"/>
              <w:jc w:val="left"/>
            </w:pPr>
            <w:r>
              <w:t xml:space="preserve">Lawyer ABN</w:t>
            </w:r>
          </w:p>
        </w:tc>
        <w:tc>
          <w:tcPr/>
          <w:p>
            <w:pPr>
              <w:pStyle w:val="Compact"/>
              <w:jc w:val="left"/>
            </w:pPr>
            <w:r>
              <w:t xml:space="preserve">52 991 447 823</w:t>
            </w:r>
          </w:p>
        </w:tc>
      </w:tr>
      <w:tr>
        <w:tc>
          <w:tcPr/>
          <w:p>
            <w:pPr>
              <w:pStyle w:val="Compact"/>
              <w:jc w:val="left"/>
            </w:pPr>
            <w:r>
              <w:t xml:space="preserve">Lawyer Professional Indemnity</w:t>
            </w:r>
          </w:p>
        </w:tc>
        <w:tc>
          <w:tcPr/>
          <w:p>
            <w:pPr>
              <w:pStyle w:val="Compact"/>
              <w:jc w:val="left"/>
            </w:pPr>
            <w:r>
              <w:t xml:space="preserve">Insured with AIG Australia Ltd, Policy No. PI-2025-88341 (Coverage: AUD 10,000,000)</w:t>
            </w:r>
          </w:p>
        </w:tc>
      </w:tr>
      <w:tr>
        <w:tc>
          <w:tcPr/>
          <w:p>
            <w:pPr>
              <w:pStyle w:val="Compact"/>
              <w:jc w:val="left"/>
            </w:pPr>
            <w:r>
              <w:t xml:space="preserve">Lawyer Admission</w:t>
            </w:r>
          </w:p>
        </w:tc>
        <w:tc>
          <w:tcPr/>
          <w:p>
            <w:pPr>
              <w:pStyle w:val="Compact"/>
              <w:jc w:val="left"/>
            </w:pPr>
            <w:r>
              <w:t xml:space="preserve">Admitted to the Supreme Court of Victoria and the Federal Court of Australia</w:t>
            </w:r>
          </w:p>
        </w:tc>
      </w:tr>
    </w:tbl>
    <w:bookmarkEnd w:id="22"/>
    <w:bookmarkStart w:id="23" w:name="description-of-services-line-items"/>
    <w:p>
      <w:pPr>
        <w:pStyle w:val="Heading2"/>
      </w:pPr>
      <w:r>
        <w:t xml:space="preserve">3. Description of Services &amp; Line Items</w:t>
      </w:r>
    </w:p>
    <w:p>
      <w:pPr>
        <w:pStyle w:val="FirstParagraph"/>
      </w:pPr>
      <w:r>
        <w:t xml:space="preserve">This Purchase Order is issued by Meridian Corporate Holdings Pty Ltd to engage the above-named Lawyer to provide comprehensive legal services in Australia Melbourne. The scope of work encompasses corporate governance advisory, contract negotiation and drafting, regulatory compliance under Victorian and Commonwealth Australian law, and representation in the Victorian Supreme Court should litigation become necessary. The Lawyer shall act as the primary legal counsel for the engagement period specified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Rate (AUD)</w:t>
            </w:r>
          </w:p>
        </w:tc>
        <w:tc>
          <w:tcPr/>
          <w:p>
            <w:pPr>
              <w:pStyle w:val="Compact"/>
              <w:jc w:val="left"/>
            </w:pPr>
            <w:r>
              <w:t xml:space="preserve">Est. Hours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Corporate governance advisory and board compliance review (Australia Melbourne jurisdiction)</w:t>
            </w:r>
          </w:p>
        </w:tc>
        <w:tc>
          <w:tcPr/>
          <w:p>
            <w:pPr>
              <w:pStyle w:val="Compact"/>
              <w:jc w:val="left"/>
            </w:pPr>
            <w:r>
              <w:t xml:space="preserve">$420.00/hr</w:t>
            </w:r>
          </w:p>
        </w:tc>
        <w:tc>
          <w:tcPr/>
          <w:p>
            <w:pPr>
              <w:pStyle w:val="Compact"/>
              <w:jc w:val="left"/>
            </w:pPr>
            <w:r>
              <w:t xml:space="preserve">40</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Drafting and negotiation of commercial supply agreements (minimum 12 contracts)</w:t>
            </w:r>
          </w:p>
        </w:tc>
        <w:tc>
          <w:tcPr/>
          <w:p>
            <w:pPr>
              <w:pStyle w:val="Compact"/>
              <w:jc w:val="left"/>
            </w:pPr>
            <w:r>
              <w:t xml:space="preserve">$385.00/hr</w:t>
            </w:r>
          </w:p>
        </w:tc>
        <w:tc>
          <w:tcPr/>
          <w:p>
            <w:pPr>
              <w:pStyle w:val="Compact"/>
              <w:jc w:val="left"/>
            </w:pPr>
            <w:r>
              <w:t xml:space="preserve">60</w:t>
            </w:r>
          </w:p>
        </w:tc>
        <w:tc>
          <w:tcPr/>
          <w:p>
            <w:pPr>
              <w:pStyle w:val="Compact"/>
              <w:jc w:val="left"/>
            </w:pPr>
            <w:r>
              <w:t xml:space="preserve">$23,100.00</w:t>
            </w:r>
          </w:p>
        </w:tc>
      </w:tr>
      <w:tr>
        <w:tc>
          <w:tcPr/>
          <w:p>
            <w:pPr>
              <w:pStyle w:val="Compact"/>
              <w:jc w:val="left"/>
            </w:pPr>
            <w:r>
              <w:t xml:space="preserve">3</w:t>
            </w:r>
          </w:p>
        </w:tc>
        <w:tc>
          <w:tcPr/>
          <w:p>
            <w:pPr>
              <w:pStyle w:val="Compact"/>
              <w:jc w:val="left"/>
            </w:pPr>
            <w:r>
              <w:t xml:space="preserve">Regulatory compliance audit under the Corporations Act 2001 (Cth) and Victorian Fair Trading Act 1999</w:t>
            </w:r>
          </w:p>
        </w:tc>
        <w:tc>
          <w:tcPr/>
          <w:p>
            <w:pPr>
              <w:pStyle w:val="Compact"/>
              <w:jc w:val="left"/>
            </w:pPr>
            <w:r>
              <w:t xml:space="preserve">$450.00/hr</w:t>
            </w:r>
          </w:p>
        </w:tc>
        <w:tc>
          <w:tcPr/>
          <w:p>
            <w:pPr>
              <w:pStyle w:val="Compact"/>
              <w:jc w:val="left"/>
            </w:pPr>
            <w:r>
              <w:t xml:space="preserve">35</w:t>
            </w:r>
          </w:p>
        </w:tc>
        <w:tc>
          <w:tcPr/>
          <w:p>
            <w:pPr>
              <w:pStyle w:val="Compact"/>
              <w:jc w:val="left"/>
            </w:pPr>
            <w:r>
              <w:t xml:space="preserve">$15,750.00</w:t>
            </w:r>
          </w:p>
        </w:tc>
      </w:tr>
      <w:tr>
        <w:tc>
          <w:tcPr/>
          <w:p>
            <w:pPr>
              <w:pStyle w:val="Compact"/>
              <w:jc w:val="left"/>
            </w:pPr>
            <w:r>
              <w:t xml:space="preserve">4</w:t>
            </w:r>
          </w:p>
        </w:tc>
        <w:tc>
          <w:tcPr/>
          <w:p>
            <w:pPr>
              <w:pStyle w:val="Compact"/>
              <w:jc w:val="left"/>
            </w:pPr>
            <w:r>
              <w:t xml:space="preserve">Litigation preparation and representation in the Supreme Court of Victoria (contingent, up to 80 hours)</w:t>
            </w:r>
          </w:p>
        </w:tc>
        <w:tc>
          <w:tcPr/>
          <w:p>
            <w:pPr>
              <w:pStyle w:val="Compact"/>
              <w:jc w:val="left"/>
            </w:pPr>
            <w:r>
              <w:t xml:space="preserve">$520.00/hr</w:t>
            </w:r>
          </w:p>
        </w:tc>
        <w:tc>
          <w:tcPr/>
          <w:p>
            <w:pPr>
              <w:pStyle w:val="Compact"/>
              <w:jc w:val="left"/>
            </w:pPr>
            <w:r>
              <w:t xml:space="preserve">80</w:t>
            </w:r>
          </w:p>
        </w:tc>
        <w:tc>
          <w:tcPr/>
          <w:p>
            <w:pPr>
              <w:pStyle w:val="Compact"/>
              <w:jc w:val="left"/>
            </w:pPr>
            <w:r>
              <w:t xml:space="preserve">$41,600.00</w:t>
            </w:r>
          </w:p>
        </w:tc>
      </w:tr>
      <w:tr>
        <w:tc>
          <w:tcPr/>
          <w:p>
            <w:pPr>
              <w:pStyle w:val="Compact"/>
              <w:jc w:val="left"/>
            </w:pPr>
            <w:r>
              <w:t xml:space="preserve">5</w:t>
            </w:r>
          </w:p>
        </w:tc>
        <w:tc>
          <w:tcPr/>
          <w:p>
            <w:pPr>
              <w:pStyle w:val="Compact"/>
              <w:jc w:val="left"/>
            </w:pPr>
            <w:r>
              <w:t xml:space="preserve">Intellectual property registration and enforcement (IP Australia filings, Melbourne office)</w:t>
            </w:r>
          </w:p>
        </w:tc>
        <w:tc>
          <w:tcPr/>
          <w:p>
            <w:pPr>
              <w:pStyle w:val="Compact"/>
              <w:jc w:val="left"/>
            </w:pPr>
            <w:r>
              <w:t xml:space="preserve">$395.00/hr</w:t>
            </w:r>
          </w:p>
        </w:tc>
        <w:tc>
          <w:tcPr/>
          <w:p>
            <w:pPr>
              <w:pStyle w:val="Compact"/>
              <w:jc w:val="left"/>
            </w:pPr>
            <w:r>
              <w:t xml:space="preserve">25</w:t>
            </w:r>
          </w:p>
        </w:tc>
        <w:tc>
          <w:tcPr/>
          <w:p>
            <w:pPr>
              <w:pStyle w:val="Compact"/>
              <w:jc w:val="left"/>
            </w:pPr>
            <w:r>
              <w:t xml:space="preserve">$9,875.00</w:t>
            </w:r>
          </w:p>
        </w:tc>
      </w:tr>
      <w:tr>
        <w:tc>
          <w:tcPr/>
          <w:p>
            <w:pPr>
              <w:pStyle w:val="Compact"/>
              <w:jc w:val="left"/>
            </w:pPr>
            <w:r>
              <w:t xml:space="preserve">6</w:t>
            </w:r>
          </w:p>
        </w:tc>
        <w:tc>
          <w:tcPr/>
          <w:p>
            <w:pPr>
              <w:pStyle w:val="Compact"/>
              <w:jc w:val="left"/>
            </w:pPr>
            <w:r>
              <w:t xml:space="preserve">Employment law advisory and industrial relations dispute resolution (Fair Work Commission, Melbourne)</w:t>
            </w:r>
          </w:p>
        </w:tc>
        <w:tc>
          <w:tcPr/>
          <w:p>
            <w:pPr>
              <w:pStyle w:val="Compact"/>
              <w:jc w:val="left"/>
            </w:pPr>
            <w:r>
              <w:t xml:space="preserve">$410.00/hr</w:t>
            </w:r>
          </w:p>
        </w:tc>
        <w:tc>
          <w:tcPr/>
          <w:p>
            <w:pPr>
              <w:pStyle w:val="Compact"/>
              <w:jc w:val="left"/>
            </w:pPr>
            <w:r>
              <w:t xml:space="preserve">30</w:t>
            </w:r>
          </w:p>
        </w:tc>
        <w:tc>
          <w:tcPr/>
          <w:p>
            <w:pPr>
              <w:pStyle w:val="Compact"/>
              <w:jc w:val="left"/>
            </w:pPr>
            <w:r>
              <w:t xml:space="preserve">$12,300.00</w:t>
            </w:r>
          </w:p>
        </w:tc>
      </w:tr>
      <w:tr>
        <w:tc>
          <w:tcPr>
            <w:gridSpan w:val="4"/>
          </w:tcPr>
          <w:p>
            <w:pPr>
              <w:pStyle w:val="Compact"/>
              <w:jc w:val="left"/>
            </w:pPr>
            <w:r>
              <w:t xml:space="preserve">Subtotal (AUD)</w:t>
            </w:r>
          </w:p>
        </w:tc>
        <w:tc>
          <w:tcPr/>
          <w:p>
            <w:pPr>
              <w:pStyle w:val="Compact"/>
              <w:jc w:val="left"/>
            </w:pPr>
            <w:r>
              <w:t xml:space="preserve">$119,425.00</w:t>
            </w:r>
          </w:p>
        </w:tc>
      </w:tr>
      <w:tr>
        <w:tc>
          <w:tcPr>
            <w:gridSpan w:val="4"/>
          </w:tcPr>
          <w:p>
            <w:pPr>
              <w:pStyle w:val="Compact"/>
              <w:jc w:val="left"/>
            </w:pPr>
            <w:r>
              <w:t xml:space="preserve">GST (10%)</w:t>
            </w:r>
          </w:p>
        </w:tc>
        <w:tc>
          <w:tcPr/>
          <w:p>
            <w:pPr>
              <w:pStyle w:val="Compact"/>
              <w:jc w:val="left"/>
            </w:pPr>
            <w:r>
              <w:t xml:space="preserve">$11,942.50</w:t>
            </w:r>
          </w:p>
        </w:tc>
      </w:tr>
      <w:tr>
        <w:tc>
          <w:tcPr>
            <w:gridSpan w:val="4"/>
          </w:tcPr>
          <w:p>
            <w:pPr>
              <w:pStyle w:val="Compact"/>
              <w:jc w:val="left"/>
            </w:pPr>
            <w:r>
              <w:rPr>
                <w:bCs/>
                <w:b/>
              </w:rPr>
              <w:t xml:space="preserve">Total Purchase Order Value (AUD)</w:t>
            </w:r>
          </w:p>
        </w:tc>
        <w:tc>
          <w:tcPr/>
          <w:p>
            <w:pPr>
              <w:pStyle w:val="Compact"/>
              <w:jc w:val="left"/>
            </w:pPr>
            <w:r>
              <w:rPr>
                <w:bCs/>
                <w:b/>
              </w:rPr>
              <w:t xml:space="preserve">$131,367.50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laws of the State of Victoria, Australia, and the Commonwealth of Australia. Any disputes shall be subject to the exclusive jurisdiction of the courts of Australia Melbourne, specifically the Supreme Court of Victoria.</w:t>
      </w:r>
    </w:p>
    <w:p>
      <w:pPr>
        <w:numPr>
          <w:ilvl w:val="0"/>
          <w:numId w:val="1001"/>
        </w:numPr>
        <w:pStyle w:val="Compact"/>
      </w:pPr>
      <w:r>
        <w:rPr>
          <w:bCs/>
          <w:b/>
        </w:rPr>
        <w:t xml:space="preserve">Lawyer's Obligations:</w:t>
      </w:r>
      <w:r>
        <w:t xml:space="preserve"> </w:t>
      </w:r>
      <w:r>
        <w:t xml:space="preserve">The Lawyer shall perform all services with the skill, care, and diligence expected of a reasonably competent solicitor practising in Australia Melbourne. The Lawyer shall maintain strict confidentiality in accordance with the Legal Profession Uniform Law (Vic) 2014 and the Australian Solicitors' Conduct Rules 2012.</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from the Lawyer. Invoices shall be submitted monthly in arrears. All payments shall be made via electronic funds transfer (EFT) to the bank account nominated by the Lawyer in writing.</w:t>
      </w:r>
    </w:p>
    <w:p>
      <w:pPr>
        <w:numPr>
          <w:ilvl w:val="0"/>
          <w:numId w:val="1001"/>
        </w:numPr>
        <w:pStyle w:val="Compact"/>
      </w:pPr>
      <w:r>
        <w:rPr>
          <w:bCs/>
          <w:b/>
        </w:rPr>
        <w:t xml:space="preserve">Engagement Period:</w:t>
      </w:r>
      <w:r>
        <w:t xml:space="preserve"> </w:t>
      </w:r>
      <w:r>
        <w:t xml:space="preserve">This Purchase Order authorises legal services for a period of twelve (12) months commencing 1 July 2025 and expiring 30 June 2026, unless terminated earlier in accordance with Clause 7.</w:t>
      </w:r>
    </w:p>
    <w:p>
      <w:pPr>
        <w:numPr>
          <w:ilvl w:val="0"/>
          <w:numId w:val="1001"/>
        </w:numPr>
        <w:pStyle w:val="Compact"/>
      </w:pPr>
      <w:r>
        <w:rPr>
          <w:bCs/>
          <w:b/>
        </w:rPr>
        <w:t xml:space="preserve">Conflict of Interest:</w:t>
      </w:r>
      <w:r>
        <w:t xml:space="preserve"> </w:t>
      </w:r>
      <w:r>
        <w:t xml:space="preserve">The Lawyer warrants that no conflict of interest exists or will arise during the engagement period. The Lawyer shall immediately notify the Purchaser in writing should any potential conflict emerge.</w:t>
      </w:r>
    </w:p>
    <w:p>
      <w:pPr>
        <w:numPr>
          <w:ilvl w:val="0"/>
          <w:numId w:val="1001"/>
        </w:numPr>
        <w:pStyle w:val="Compact"/>
      </w:pPr>
      <w:r>
        <w:rPr>
          <w:bCs/>
          <w:b/>
        </w:rPr>
        <w:t xml:space="preserve">Professional Indemnity:</w:t>
      </w:r>
      <w:r>
        <w:t xml:space="preserve"> </w:t>
      </w:r>
      <w:r>
        <w:t xml:space="preserve">The Lawyer shall maintain professional indemnity insurance with a minimum coverage of AUD 10,000,000 per claim throughout the engagement period and shall provide a certificate of insurance upon request.</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Upon termination, the Lawyer shall be compensated for all services rendered up to the effective date of termination, less any unearned fees.</w:t>
      </w:r>
    </w:p>
    <w:p>
      <w:pPr>
        <w:numPr>
          <w:ilvl w:val="0"/>
          <w:numId w:val="1001"/>
        </w:numPr>
        <w:pStyle w:val="Compact"/>
      </w:pPr>
      <w:r>
        <w:rPr>
          <w:bCs/>
          <w:b/>
        </w:rPr>
        <w:t xml:space="preserve">Costs and Disbursements:</w:t>
      </w:r>
      <w:r>
        <w:t xml:space="preserve"> </w:t>
      </w:r>
      <w:r>
        <w:t xml:space="preserve">All court filing fees, expert witness fees, travel expenses within Australia Melbourne, and other reasonable out-of-pocket disbursements shall be billed at cost with supporting receipts. No disbursement exceeding AUD 500.00 shall be incurred without prior written authorisation from the Purchaser.</w:t>
      </w:r>
    </w:p>
    <w:p>
      <w:pPr>
        <w:numPr>
          <w:ilvl w:val="0"/>
          <w:numId w:val="1001"/>
        </w:numPr>
        <w:pStyle w:val="Compact"/>
      </w:pPr>
      <w:r>
        <w:rPr>
          <w:bCs/>
          <w:b/>
        </w:rPr>
        <w:t xml:space="preserve">Compliance with Australian Law:</w:t>
      </w:r>
      <w:r>
        <w:t xml:space="preserve"> </w:t>
      </w:r>
      <w:r>
        <w:t xml:space="preserve">The Lawyer shall ensure all work product complies with the Australian Consumer Law, the Privacy Act 1988 (Cth), the Corporations Act 2001 (Cth), and all applicable Victorian state legislation in force in Australia Melbourne at the time of engagement.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Melbourne metropolitan area, government-imposed restrictions, or acts of God.</w:t>
      </w:r>
    </w:p>
    <w:bookmarkEnd w:id="24"/>
    <w:bookmarkStart w:id="25" w:name="authorisation-acceptance"/>
    <w:p>
      <w:pPr>
        <w:pStyle w:val="Heading2"/>
      </w:pPr>
      <w:r>
        <w:t xml:space="preserve">5. Authorisation &amp; Acceptance</w:t>
      </w:r>
    </w:p>
    <w:p>
      <w:pPr>
        <w:pStyle w:val="FirstParagraph"/>
      </w:pPr>
      <w:r>
        <w:t xml:space="preserve">By signing below, the undersigned parties acknowledge and agree to all terms, conditions, and service descriptions set forth in this Purchase Order. The Lawyer confirms acceptance of this engagement and agrees to provide legal services in Australia Melbourne in accordance with the scope, rates, and timelines specified herein.</w:t>
      </w:r>
    </w:p>
    <w:p>
      <w:pPr>
        <w:pStyle w:val="BodyText"/>
      </w:pPr>
      <w:r>
        <w:rPr>
          <w:bCs/>
          <w:b/>
        </w:rPr>
        <w:t xml:space="preserve">For and on behalf of Meridian Corporate Holdings Pty Ltd (Purchaser):</w:t>
      </w:r>
    </w:p>
    <w:p>
      <w:pPr>
        <w:pStyle w:val="BodyText"/>
      </w:pPr>
      <w:r>
        <w:t xml:space="preserve">Name: Dr. Eleanor V. Whitfield</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Harper &amp; Calloway Legal Partners LLP (Lawyer / Vendor):</w:t>
      </w:r>
    </w:p>
    <w:p>
      <w:pPr>
        <w:pStyle w:val="BodyText"/>
      </w:pPr>
      <w:r>
        <w:t xml:space="preserve">Name: Mr. Jonathan R. Harper</w:t>
      </w:r>
      <w:r>
        <w:br/>
      </w:r>
      <w:r>
        <w:t xml:space="preserve">Title: Principal Solicitor</w:t>
      </w:r>
      <w:r>
        <w:br/>
      </w:r>
      <w:r>
        <w:t xml:space="preserve">Signature: _________________________</w:t>
      </w:r>
      <w:r>
        <w:br/>
      </w:r>
      <w:r>
        <w:t xml:space="preserve">Date: _________________________</w:t>
      </w:r>
    </w:p>
    <w:bookmarkEnd w:id="25"/>
    <w:bookmarkStart w:id="26" w:name="notes-and-special-instructions"/>
    <w:p>
      <w:pPr>
        <w:pStyle w:val="Heading2"/>
      </w:pPr>
      <w:r>
        <w:t xml:space="preserve">6. Notes and Special Instructions</w:t>
      </w:r>
    </w:p>
    <w:p>
      <w:pPr>
        <w:numPr>
          <w:ilvl w:val="0"/>
          <w:numId w:val="1002"/>
        </w:numPr>
        <w:pStyle w:val="Compact"/>
      </w:pPr>
      <w:r>
        <w:t xml:space="preserve">All correspondence relating to this Purchase Order shall be directed to the Lawyer's office at 120 Swanston Street, Melbourne, Victoria 3000, Australia, or via the email address specified in Section 2.</w:t>
      </w:r>
    </w:p>
    <w:p>
      <w:pPr>
        <w:numPr>
          <w:ilvl w:val="0"/>
          <w:numId w:val="1002"/>
        </w:numPr>
        <w:pStyle w:val="Compact"/>
      </w:pPr>
      <w:r>
        <w:t xml:space="preserve">The Lawyer shall provide a written progress report to the Purchaser's Corporate Legal &amp; Compliance Division on the last business day of each calendar month.</w:t>
      </w:r>
    </w:p>
    <w:p>
      <w:pPr>
        <w:numPr>
          <w:ilvl w:val="0"/>
          <w:numId w:val="1002"/>
        </w:numPr>
        <w:pStyle w:val="Compact"/>
      </w:pPr>
      <w:r>
        <w:t xml:space="preserve">Any variation to the scope of services, hourly rates, or estimated hours under this Purchase Order must be documented in a written variation agreement signed by both parties before additional work commences.</w:t>
      </w:r>
    </w:p>
    <w:p>
      <w:pPr>
        <w:numPr>
          <w:ilvl w:val="0"/>
          <w:numId w:val="1002"/>
        </w:numPr>
        <w:pStyle w:val="Compact"/>
      </w:pPr>
      <w:r>
        <w:t xml:space="preserve">This Purchase Order does not constitute a retainer for unlimited legal services. All work beyond the estimated hours listed in Section 3 requires a separate written authorisation.</w:t>
      </w:r>
    </w:p>
    <w:p>
      <w:pPr>
        <w:numPr>
          <w:ilvl w:val="0"/>
          <w:numId w:val="1002"/>
        </w:numPr>
        <w:pStyle w:val="Compact"/>
      </w:pPr>
      <w:r>
        <w:t xml:space="preserve">The Lawyer acknowledges that this Purchase Order is subject to the Legal Profession Uniform Law Application Act 2014 (Vic) and all associated regulatory requirements for legal practitioners in Australia Melbourne.</w:t>
      </w:r>
    </w:p>
    <w:bookmarkEnd w:id="26"/>
    <w:p>
      <w:pPr>
        <w:pStyle w:val="FirstParagraph"/>
      </w:pPr>
      <w:r>
        <w:rPr>
          <w:bCs/>
          <w:b/>
        </w:rPr>
        <w:t xml:space="preserve">Purchase Order No. MCH-2025-04782</w:t>
      </w:r>
      <w:r>
        <w:t xml:space="preserve"> </w:t>
      </w:r>
      <w:r>
        <w:t xml:space="preserve">| Meridian Corporate Holdings Pty Ltd | Australia Melbourne</w:t>
      </w:r>
    </w:p>
    <w:p>
      <w:pPr>
        <w:pStyle w:val="BodyText"/>
      </w:pPr>
      <w:r>
        <w:t xml:space="preserve">This document is issued in accordance with the Purchaser's internal procurement policies and the Australian Consumer Law. All amounts are stated in Australian Dollars (AUD) inclusive of applicable Goods and Services Tax (GST) at 10%.</w:t>
      </w:r>
    </w:p>
    <w:p>
      <w:pPr>
        <w:pStyle w:val="BodyText"/>
      </w:pPr>
      <w:r>
        <w:t xml:space="preserve">Document generated: 14 June 2025 | Version 1.0 | Confidential — For authorised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Australia Melbourne</dc:title>
  <dc:creator/>
  <dc:language>en</dc:language>
  <cp:keywords/>
  <dcterms:created xsi:type="dcterms:W3CDTF">2026-10-10T09:13:54Z</dcterms:created>
  <dcterms:modified xsi:type="dcterms:W3CDTF">2026-10-10T09:13:54Z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