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purchase-order"/>
    <w:p>
      <w:pPr>
        <w:pStyle w:val="Heading1"/>
      </w:pPr>
      <w:r>
        <w:t xml:space="preserve">PURCHASE ORDER</w:t>
      </w:r>
    </w:p>
    <w:p>
      <w:pPr>
        <w:pStyle w:val="FirstParagraph"/>
      </w:pPr>
      <w:r>
        <w:rPr>
          <w:bCs/>
          <w:b/>
        </w:rPr>
        <w:t xml:space="preserve">Meridian Corporate Services Ltd.</w:t>
      </w:r>
    </w:p>
    <w:p>
      <w:pPr>
        <w:pStyle w:val="BodyText"/>
      </w:pPr>
      <w:r>
        <w:t xml:space="preserve">House 42, Road 11, Banani, Dhaka-1213, Bangladesh</w:t>
      </w:r>
    </w:p>
    <w:p>
      <w:pPr>
        <w:pStyle w:val="BodyText"/>
      </w:pPr>
      <w:r>
        <w:t xml:space="preserve">Tel: +880-2-9887654 | Email: procurement@meridiancorp.com.bd | VAT Reg. No: 001234567-0201</w:t>
      </w:r>
    </w:p>
    <w:p>
      <w:pPr>
        <w:pStyle w:val="BodyText"/>
      </w:pPr>
      <w:r>
        <w:t xml:space="preserve">PO No: MCS/PO/2025/00472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30 Days</w:t>
      </w:r>
    </w:p>
    <w:p>
      <w:pPr>
        <w:pStyle w:val="BodyText"/>
      </w:pPr>
      <w:r>
        <w:rPr>
          <w:bCs/>
          <w:b/>
        </w:rPr>
        <w:t xml:space="preserve">Project Reference:</w:t>
      </w:r>
      <w:r>
        <w:t xml:space="preserve"> </w:t>
      </w:r>
      <w:r>
        <w:t xml:space="preserve">Legal-2025-DH-089</w:t>
      </w:r>
      <w:r>
        <w:br/>
      </w:r>
      <w:r>
        <w:rPr>
          <w:bCs/>
          <w:b/>
        </w:rPr>
        <w:t xml:space="preserve">Department:</w:t>
      </w:r>
      <w:r>
        <w:t xml:space="preserve"> </w:t>
      </w:r>
      <w:r>
        <w:t xml:space="preserve">Corporate Legal Affairs</w:t>
      </w:r>
      <w:r>
        <w:br/>
      </w:r>
      <w:r>
        <w:rPr>
          <w:bCs/>
          <w:b/>
        </w:rPr>
        <w:t xml:space="preserve">Approved By:</w:t>
      </w:r>
      <w:r>
        <w:t xml:space="preserve"> </w:t>
      </w:r>
      <w:r>
        <w:t xml:space="preserve">Chief Financial Officer</w:t>
      </w:r>
    </w:p>
    <w:bookmarkStart w:id="21" w:name="vendor-service-provider-details"/>
    <w:p>
      <w:pPr>
        <w:pStyle w:val="Heading2"/>
      </w:pPr>
      <w:r>
        <w:t xml:space="preserve">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Lawyer Name</w:t>
            </w:r>
          </w:p>
        </w:tc>
        <w:tc>
          <w:tcPr/>
          <w:p>
            <w:pPr>
              <w:pStyle w:val="Compact"/>
              <w:jc w:val="left"/>
            </w:pPr>
            <w:r>
              <w:t xml:space="preserve">Advocate Md. Rahimul Hasan, Barrister-at-Law</w:t>
            </w:r>
          </w:p>
        </w:tc>
      </w:tr>
      <w:tr>
        <w:tc>
          <w:tcPr/>
          <w:p>
            <w:pPr>
              <w:pStyle w:val="Compact"/>
              <w:jc w:val="left"/>
            </w:pPr>
            <w:r>
              <w:rPr>
                <w:bCs/>
                <w:b/>
              </w:rPr>
              <w:t xml:space="preserve">Firm Name</w:t>
            </w:r>
          </w:p>
        </w:tc>
        <w:tc>
          <w:tcPr/>
          <w:p>
            <w:pPr>
              <w:pStyle w:val="Compact"/>
              <w:jc w:val="left"/>
            </w:pPr>
            <w:r>
              <w:t xml:space="preserve">Hasan &amp; Associates Legal Chambers</w:t>
            </w:r>
          </w:p>
        </w:tc>
      </w:tr>
      <w:tr>
        <w:tc>
          <w:tcPr/>
          <w:p>
            <w:pPr>
              <w:pStyle w:val="Compact"/>
              <w:jc w:val="left"/>
            </w:pPr>
            <w:r>
              <w:rPr>
                <w:bCs/>
                <w:b/>
              </w:rPr>
              <w:t xml:space="preserve">Address</w:t>
            </w:r>
          </w:p>
        </w:tc>
        <w:tc>
          <w:tcPr/>
          <w:p>
            <w:pPr>
              <w:pStyle w:val="Compact"/>
              <w:jc w:val="left"/>
            </w:pPr>
            <w:r>
              <w:t xml:space="preserve">Level 7, Gulshan Avenue Tower, 114 Gulshan Avenue, Gulshan-1, Dhaka-1212, Bangladesh</w:t>
            </w:r>
          </w:p>
        </w:tc>
      </w:tr>
      <w:tr>
        <w:tc>
          <w:tcPr/>
          <w:p>
            <w:pPr>
              <w:pStyle w:val="Compact"/>
              <w:jc w:val="left"/>
            </w:pPr>
            <w:r>
              <w:rPr>
                <w:bCs/>
                <w:b/>
              </w:rPr>
              <w:t xml:space="preserve">Bar Council Registration</w:t>
            </w:r>
          </w:p>
        </w:tc>
        <w:tc>
          <w:tcPr/>
          <w:p>
            <w:pPr>
              <w:pStyle w:val="Compact"/>
              <w:jc w:val="left"/>
            </w:pPr>
            <w:r>
              <w:t xml:space="preserve">Bar Council of Bangladesh, Roll No. 4521/2008</w:t>
            </w:r>
          </w:p>
        </w:tc>
      </w:tr>
      <w:tr>
        <w:tc>
          <w:tcPr/>
          <w:p>
            <w:pPr>
              <w:pStyle w:val="Compact"/>
              <w:jc w:val="left"/>
            </w:pPr>
            <w:r>
              <w:rPr>
                <w:bCs/>
                <w:b/>
              </w:rPr>
              <w:t xml:space="preserve">Contact</w:t>
            </w:r>
          </w:p>
        </w:tc>
        <w:tc>
          <w:tcPr/>
          <w:p>
            <w:pPr>
              <w:pStyle w:val="Compact"/>
              <w:jc w:val="left"/>
            </w:pPr>
            <w:r>
              <w:t xml:space="preserve">Tel: +880-1711-234567 | Email: rahimul.hasan@hasanlaw.com.bd</w:t>
            </w:r>
          </w:p>
        </w:tc>
      </w:tr>
      <w:tr>
        <w:tc>
          <w:tcPr/>
          <w:p>
            <w:pPr>
              <w:pStyle w:val="Compact"/>
              <w:jc w:val="left"/>
            </w:pPr>
            <w:r>
              <w:rPr>
                <w:bCs/>
                <w:b/>
              </w:rPr>
              <w:t xml:space="preserve">TIN / VAT</w:t>
            </w:r>
          </w:p>
        </w:tc>
        <w:tc>
          <w:tcPr/>
          <w:p>
            <w:pPr>
              <w:pStyle w:val="Compact"/>
              <w:jc w:val="left"/>
            </w:pPr>
            <w:r>
              <w:t xml:space="preserve">TIN: 556677889900 | VAT Reg: 009876543-0201</w:t>
            </w:r>
          </w:p>
        </w:tc>
      </w:tr>
    </w:tbl>
    <w:bookmarkEnd w:id="21"/>
    <w:bookmarkStart w:id="22" w:name="description-of-legal-services-procured"/>
    <w:p>
      <w:pPr>
        <w:pStyle w:val="Heading2"/>
      </w:pPr>
      <w:r>
        <w:t xml:space="preserve">Description of Legal Services Procured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Comprehensive legal advisory and representation for corporate restructuring of Meridian Corporate Services Ltd. before the Registrar of Joint Stock Companies and Firms (RJSC), Dhaka</w:t>
            </w:r>
          </w:p>
        </w:tc>
        <w:tc>
          <w:tcPr/>
          <w:p>
            <w:pPr>
              <w:pStyle w:val="Compact"/>
              <w:jc w:val="left"/>
            </w:pPr>
            <w:r>
              <w:t xml:space="preserve">3 months</w:t>
            </w:r>
          </w:p>
        </w:tc>
        <w:tc>
          <w:tcPr/>
          <w:p>
            <w:pPr>
              <w:pStyle w:val="Compact"/>
              <w:jc w:val="left"/>
            </w:pPr>
            <w:r>
              <w:t xml:space="preserve">150,000 / month</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Drafting, review, and negotiation of commercial contracts, non-disclosure agreements, and joint venture agreements in compliance with the Contract Act, 1872 of Bangladesh</w:t>
            </w:r>
          </w:p>
        </w:tc>
        <w:tc>
          <w:tcPr/>
          <w:p>
            <w:pPr>
              <w:pStyle w:val="Compact"/>
              <w:jc w:val="left"/>
            </w:pPr>
            <w:r>
              <w:t xml:space="preserve">Ongoing (6 months)</w:t>
            </w:r>
          </w:p>
        </w:tc>
        <w:tc>
          <w:tcPr/>
          <w:p>
            <w:pPr>
              <w:pStyle w:val="Compact"/>
              <w:jc w:val="left"/>
            </w:pPr>
            <w:r>
              <w:t xml:space="preserve">80,000 / month</w:t>
            </w:r>
          </w:p>
        </w:tc>
        <w:tc>
          <w:tcPr/>
          <w:p>
            <w:pPr>
              <w:pStyle w:val="Compact"/>
              <w:jc w:val="left"/>
            </w:pPr>
            <w:r>
              <w:t xml:space="preserve">480,000.00</w:t>
            </w:r>
          </w:p>
        </w:tc>
      </w:tr>
      <w:tr>
        <w:tc>
          <w:tcPr/>
          <w:p>
            <w:pPr>
              <w:pStyle w:val="Compact"/>
              <w:jc w:val="left"/>
            </w:pPr>
            <w:r>
              <w:t xml:space="preserve">3</w:t>
            </w:r>
          </w:p>
        </w:tc>
        <w:tc>
          <w:tcPr/>
          <w:p>
            <w:pPr>
              <w:pStyle w:val="Compact"/>
              <w:jc w:val="left"/>
            </w:pPr>
            <w:r>
              <w:t xml:space="preserve">Representation before the Dhaka District Court and the Appellate Division of the Supreme Court of Bangladesh in pending civil litigation matter No. 234/2024</w:t>
            </w:r>
          </w:p>
        </w:tc>
        <w:tc>
          <w:tcPr/>
          <w:p>
            <w:pPr>
              <w:pStyle w:val="Compact"/>
              <w:jc w:val="left"/>
            </w:pPr>
            <w:r>
              <w:t xml:space="preserve">Until final judgment</w:t>
            </w:r>
          </w:p>
        </w:tc>
        <w:tc>
          <w:tcPr/>
          <w:p>
            <w:pPr>
              <w:pStyle w:val="Compact"/>
              <w:jc w:val="left"/>
            </w:pPr>
            <w:r>
              <w:t xml:space="preserve">200,000 (lump sum)</w:t>
            </w:r>
          </w:p>
        </w:tc>
        <w:tc>
          <w:tcPr/>
          <w:p>
            <w:pPr>
              <w:pStyle w:val="Compact"/>
              <w:jc w:val="left"/>
            </w:pPr>
            <w:r>
              <w:t xml:space="preserve">200,000.00</w:t>
            </w:r>
          </w:p>
        </w:tc>
      </w:tr>
      <w:tr>
        <w:tc>
          <w:tcPr/>
          <w:p>
            <w:pPr>
              <w:pStyle w:val="Compact"/>
              <w:jc w:val="left"/>
            </w:pPr>
            <w:r>
              <w:t xml:space="preserve">4</w:t>
            </w:r>
          </w:p>
        </w:tc>
        <w:tc>
          <w:tcPr/>
          <w:p>
            <w:pPr>
              <w:pStyle w:val="Compact"/>
              <w:jc w:val="left"/>
            </w:pPr>
            <w:r>
              <w:t xml:space="preserve">Intellectual property registration and trademark filing before the Department of Patents, Designs and Trade Marks, Dhaka</w:t>
            </w:r>
          </w:p>
        </w:tc>
        <w:tc>
          <w:tcPr/>
          <w:p>
            <w:pPr>
              <w:pStyle w:val="Compact"/>
              <w:jc w:val="left"/>
            </w:pPr>
            <w:r>
              <w:t xml:space="preserve">2 months</w:t>
            </w:r>
          </w:p>
        </w:tc>
        <w:tc>
          <w:tcPr/>
          <w:p>
            <w:pPr>
              <w:pStyle w:val="Compact"/>
              <w:jc w:val="left"/>
            </w:pPr>
            <w:r>
              <w:t xml:space="preserve">60,000 / month</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Monthly compliance audit and legal risk assessment report in accordance with the Companies Act, 1994 and Bangladesh Securities and Exchange Commission (BSEC) regulations</w:t>
            </w:r>
          </w:p>
        </w:tc>
        <w:tc>
          <w:tcPr/>
          <w:p>
            <w:pPr>
              <w:pStyle w:val="Compact"/>
              <w:jc w:val="left"/>
            </w:pPr>
            <w:r>
              <w:t xml:space="preserve">6 months</w:t>
            </w:r>
          </w:p>
        </w:tc>
        <w:tc>
          <w:tcPr/>
          <w:p>
            <w:pPr>
              <w:pStyle w:val="Compact"/>
              <w:jc w:val="left"/>
            </w:pPr>
            <w:r>
              <w:t xml:space="preserve">45,000 / month</w:t>
            </w:r>
          </w:p>
        </w:tc>
        <w:tc>
          <w:tcPr/>
          <w:p>
            <w:pPr>
              <w:pStyle w:val="Compact"/>
              <w:jc w:val="left"/>
            </w:pPr>
            <w:r>
              <w:t xml:space="preserve">270,000.00</w:t>
            </w:r>
          </w:p>
        </w:tc>
      </w:tr>
      <w:tr>
        <w:tc>
          <w:tcPr>
            <w:gridSpan w:val="4"/>
          </w:tcPr>
          <w:p>
            <w:pPr>
              <w:pStyle w:val="Compact"/>
              <w:jc w:val="left"/>
            </w:pPr>
            <w:r>
              <w:t xml:space="preserve">Subtotal (BDT)</w:t>
            </w:r>
          </w:p>
        </w:tc>
        <w:tc>
          <w:tcPr/>
          <w:p>
            <w:pPr>
              <w:pStyle w:val="Compact"/>
              <w:jc w:val="left"/>
            </w:pPr>
            <w:r>
              <w:t xml:space="preserve">1,520,000.00</w:t>
            </w:r>
          </w:p>
        </w:tc>
      </w:tr>
      <w:tr>
        <w:tc>
          <w:tcPr>
            <w:gridSpan w:val="4"/>
          </w:tcPr>
          <w:p>
            <w:pPr>
              <w:pStyle w:val="Compact"/>
              <w:jc w:val="left"/>
            </w:pPr>
            <w:r>
              <w:t xml:space="preserve">VAT @ 15% (as applicable under Bangladesh VAT Act, 1991)</w:t>
            </w:r>
          </w:p>
        </w:tc>
        <w:tc>
          <w:tcPr/>
          <w:p>
            <w:pPr>
              <w:pStyle w:val="Compact"/>
              <w:jc w:val="left"/>
            </w:pPr>
            <w:r>
              <w:t xml:space="preserve">228,000.00</w:t>
            </w:r>
          </w:p>
        </w:tc>
      </w:tr>
      <w:tr>
        <w:tc>
          <w:tcPr>
            <w:gridSpan w:val="4"/>
          </w:tcPr>
          <w:p>
            <w:pPr>
              <w:pStyle w:val="Compact"/>
              <w:jc w:val="left"/>
            </w:pPr>
            <w:r>
              <w:t xml:space="preserve">Withholding Tax @ 5% (as per Income Tax Ordinance, 1984)</w:t>
            </w:r>
          </w:p>
        </w:tc>
        <w:tc>
          <w:tcPr/>
          <w:p>
            <w:pPr>
              <w:pStyle w:val="Compact"/>
              <w:jc w:val="left"/>
            </w:pPr>
            <w:r>
              <w:t xml:space="preserve">(76,000.00)</w:t>
            </w:r>
          </w:p>
        </w:tc>
      </w:tr>
      <w:tr>
        <w:tc>
          <w:tcPr>
            <w:gridSpan w:val="4"/>
          </w:tcPr>
          <w:p>
            <w:pPr>
              <w:pStyle w:val="Compact"/>
              <w:jc w:val="left"/>
            </w:pPr>
            <w:r>
              <w:rPr>
                <w:bCs/>
                <w:b/>
              </w:rPr>
              <w:t xml:space="preserve">Grand Total (BDT)</w:t>
            </w:r>
          </w:p>
        </w:tc>
        <w:tc>
          <w:tcPr/>
          <w:p>
            <w:pPr>
              <w:pStyle w:val="Compact"/>
              <w:jc w:val="left"/>
            </w:pPr>
            <w:r>
              <w:rPr>
                <w:bCs/>
                <w:b/>
              </w:rPr>
              <w:t xml:space="preserve">1,672,000.00</w:t>
            </w:r>
          </w:p>
        </w:tc>
      </w:tr>
    </w:tbl>
    <w:bookmarkEnd w:id="22"/>
    <w:bookmarkStart w:id="23" w:name="terms-and-conditions"/>
    <w:p>
      <w:pPr>
        <w:pStyle w:val="Heading2"/>
      </w:pPr>
      <w:r>
        <w:t xml:space="preserve">Terms and Conditions</w:t>
      </w:r>
    </w:p>
    <w:p>
      <w:pPr>
        <w:numPr>
          <w:ilvl w:val="0"/>
          <w:numId w:val="1001"/>
        </w:numPr>
        <w:pStyle w:val="Compact"/>
      </w:pPr>
      <w:r>
        <w:t xml:space="preserve">This Purchase Order constitutes a binding agreement between Meridian Corporate Services Ltd. (hereinafter referred to as the "Client") and Advocate Md. Rahimul Hasan of Hasan &amp; Associates Legal Chambers (hereinafter referred to as the "Lawyer") for the provision of legal services as described herein. Both parties are physically located and operating within Dhaka, Bangladesh.</w:t>
      </w:r>
    </w:p>
    <w:p>
      <w:pPr>
        <w:numPr>
          <w:ilvl w:val="0"/>
          <w:numId w:val="1001"/>
        </w:numPr>
        <w:pStyle w:val="Compact"/>
      </w:pPr>
      <w:r>
        <w:t xml:space="preserve">The Lawyer shall render all professional legal services in strict compliance with the Bangladesh Legal Aid and Advice Committee (BLAAC) Code of Conduct, the Rules of the Bar Council of Bangladesh, and all applicable laws of the People's Republic of Bangladesh, including but not limited to the Companies Act, 1994, the Contract Act, 1872, and the Income Tax Ordinance, 1984.</w:t>
      </w:r>
    </w:p>
    <w:p>
      <w:pPr>
        <w:numPr>
          <w:ilvl w:val="0"/>
          <w:numId w:val="1001"/>
        </w:numPr>
        <w:pStyle w:val="Compact"/>
      </w:pPr>
      <w:r>
        <w:t xml:space="preserve">Payment shall be made via bank transfer to the designated account of the Lawyer's firm at Sonali Bank PLC, Gulshan Branch, Dhaka, within thirty (30) calendar days from the date of receipt of a valid tax invoice. The Client reserves the right to withhold the applicable five percent (5%) withholding tax as mandated by the National Board of Revenue (NBR), Dhaka.</w:t>
      </w:r>
    </w:p>
    <w:p>
      <w:pPr>
        <w:numPr>
          <w:ilvl w:val="0"/>
          <w:numId w:val="1001"/>
        </w:numPr>
        <w:pStyle w:val="Compact"/>
      </w:pPr>
      <w:r>
        <w:t xml:space="preserve">The Lawyer shall maintain strict confidentiality over all documents, trade secrets, and proprietary information of the Client in accordance with the professional ethical obligations of the Bar Council of Bangladesh. Any breach of confidentiality shall render the Lawyer liable for damages and disciplinary proceedings before the Bar Council.</w:t>
      </w:r>
    </w:p>
    <w:p>
      <w:pPr>
        <w:numPr>
          <w:ilvl w:val="0"/>
          <w:numId w:val="1001"/>
        </w:numPr>
        <w:pStyle w:val="Compact"/>
      </w:pPr>
      <w:r>
        <w:t xml:space="preserve">All court appearances, filings, and legal proceedings shall be conducted at the relevant courts and government offices within Dhaka Division, Bangladesh, including but not limited to the Dhaka District Court, the Dhaka Divisional Court, the High Court Division of the Supreme Court of Bangladesh, and the Appellate Division.</w:t>
      </w:r>
    </w:p>
    <w:p>
      <w:pPr>
        <w:numPr>
          <w:ilvl w:val="0"/>
          <w:numId w:val="1001"/>
        </w:numPr>
        <w:pStyle w:val="Compact"/>
      </w:pPr>
      <w:r>
        <w:t xml:space="preserve">The Lawyer shall submit a detailed written progress report to the Client's Legal Affairs Department on the last working day of each calendar month. Failure to submit the report for two consecutive months shall entitle the Client to terminate this Purchase Order with immediate effect upon fourteen (14) days' written notice.</w:t>
      </w:r>
    </w:p>
    <w:p>
      <w:pPr>
        <w:numPr>
          <w:ilvl w:val="0"/>
          <w:numId w:val="1001"/>
        </w:numPr>
        <w:pStyle w:val="Compact"/>
      </w:pPr>
      <w:r>
        <w:t xml:space="preserve">Any dispute arising out of or in connection with this Purchase Order shall be resolved through arbitration in Dhaka, Bangladesh, in accordance with the Arbitration Act, 2001 of Bangladesh. The seat of arbitration shall be Dhaka, and the language of arbitration shall be English. The arbitral award shall be final and binding upon both parties.</w:t>
      </w:r>
    </w:p>
    <w:p>
      <w:pPr>
        <w:numPr>
          <w:ilvl w:val="0"/>
          <w:numId w:val="1001"/>
        </w:numPr>
        <w:pStyle w:val="Compact"/>
      </w:pPr>
      <w:r>
        <w:t xml:space="preserve">This Purchase Order is governed by and shall be construed in accordance with the laws of the People's Republic of Bangladesh. The courts of Dhaka, Bangladesh shall have exclusive jurisdiction over any matters not subject to arbitration.</w:t>
      </w:r>
    </w:p>
    <w:p>
      <w:pPr>
        <w:numPr>
          <w:ilvl w:val="0"/>
          <w:numId w:val="1001"/>
        </w:numPr>
        <w:pStyle w:val="Compact"/>
      </w:pPr>
      <w:r>
        <w:t xml:space="preserve">The Lawyer warrants that he/she is duly registered and in good standing with the Bar Council of Bangladesh and holds a valid practicing certificate for the current year. The Client reserves the right to verify the Lawyer's registration status at any time during the engagement period.</w:t>
      </w:r>
    </w:p>
    <w:p>
      <w:pPr>
        <w:numPr>
          <w:ilvl w:val="0"/>
          <w:numId w:val="1001"/>
        </w:numPr>
        <w:pStyle w:val="Compact"/>
      </w:pPr>
      <w:r>
        <w:t xml:space="preserve">This Purchase Order may be amended or modified only by a written addendum signed and stamped by both parties. No oral modification shall be valid or enforceable under any circumstances.</w:t>
      </w:r>
    </w:p>
    <w:bookmarkEnd w:id="23"/>
    <w:bookmarkStart w:id="24" w:name="delivery-and-performance-location"/>
    <w:p>
      <w:pPr>
        <w:pStyle w:val="Heading2"/>
      </w:pPr>
      <w:r>
        <w:t xml:space="preserve">Delivery and Performance Location</w:t>
      </w:r>
    </w:p>
    <w:p>
      <w:pPr>
        <w:pStyle w:val="FirstParagraph"/>
      </w:pPr>
      <w:r>
        <w:t xml:space="preserve">All services under this Purchase Order shall be performed at the offices of the Client located at House 42, Road 11, Banani, Dhaka-1213, Bangladesh, or at such other locations within Dhaka as mutually agreed upon in writing. Court appearances and government filings shall take place at the respective judicial and administrative offices in Dhaka as required by the nature of the legal matter.</w:t>
      </w:r>
    </w:p>
    <w:bookmarkEnd w:id="24"/>
    <w:p>
      <w:pPr>
        <w:pStyle w:val="BodyText"/>
      </w:pPr>
      <w:r>
        <w:rPr>
          <w:bCs/>
          <w:b/>
        </w:rPr>
        <w:t xml:space="preserve">For and on behalf of Meridian Corporate Services Ltd.</w:t>
      </w:r>
    </w:p>
    <w:p>
      <w:pPr>
        <w:pStyle w:val="BodyText"/>
      </w:pPr>
      <w:r>
        <w:rPr>
          <w:bCs/>
          <w:b/>
        </w:rPr>
        <w:t xml:space="preserve">Authorized Signatory</w:t>
      </w:r>
      <w:r>
        <w:br/>
      </w:r>
      <w:r>
        <w:t xml:space="preserve">Name: Mr. Kamal Ahmed Chowdhury</w:t>
      </w:r>
      <w:r>
        <w:br/>
      </w:r>
      <w:r>
        <w:t xml:space="preserve">Designation: Chief Financial Officer</w:t>
      </w:r>
      <w:r>
        <w:br/>
      </w:r>
      <w:r>
        <w:t xml:space="preserve">Date: _______________</w:t>
      </w:r>
    </w:p>
    <w:p>
      <w:pPr>
        <w:pStyle w:val="BodyText"/>
      </w:pPr>
      <w:r>
        <w:rPr>
          <w:bCs/>
          <w:b/>
        </w:rPr>
        <w:t xml:space="preserve">For and on behalf of Hasan &amp; Associates Legal Chambers</w:t>
      </w:r>
    </w:p>
    <w:p>
      <w:pPr>
        <w:pStyle w:val="BodyText"/>
      </w:pPr>
      <w:r>
        <w:rPr>
          <w:bCs/>
          <w:b/>
        </w:rPr>
        <w:t xml:space="preserve">Lawyer / Advocate</w:t>
      </w:r>
      <w:r>
        <w:br/>
      </w:r>
      <w:r>
        <w:t xml:space="preserve">Name: Advocate Md. Rahimul Hasan</w:t>
      </w:r>
      <w:r>
        <w:br/>
      </w:r>
      <w:r>
        <w:t xml:space="preserve">Designation: Senior Partner, Barrister-at-Law</w:t>
      </w:r>
      <w:r>
        <w:br/>
      </w:r>
      <w:r>
        <w:t xml:space="preserve">Date: _______________</w:t>
      </w:r>
    </w:p>
    <w:p>
      <w:pPr>
        <w:pStyle w:val="BodyText"/>
      </w:pPr>
      <w:r>
        <w:t xml:space="preserve">This Purchase Order is issued in duplicate. One copy is retained by the Client and one copy is issued to the Lawyer. Both copies carry equal legal validity under the laws of Bangladesh.</w:t>
      </w:r>
    </w:p>
    <w:p>
      <w:pPr>
        <w:pStyle w:val="BodyText"/>
      </w:pPr>
      <w:r>
        <w:t xml:space="preserve">Meridian Corporate Services Ltd. | Dhaka, Bangladesh | PO No: MCS/PO/2025/00472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Bangladesh Dhaka</dc:title>
  <dc:creator/>
  <dc:language>en</dc:language>
  <cp:keywords/>
  <dcterms:created xsi:type="dcterms:W3CDTF">2026-10-10T09:41:03Z</dcterms:created>
  <dcterms:modified xsi:type="dcterms:W3CDTF">2026-10-10T09:41:03Z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