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Legal Professional Services — Lawyer Engagement</w:t>
      </w:r>
    </w:p>
    <w:p>
      <w:pPr>
        <w:pStyle w:val="BodyText"/>
      </w:pPr>
      <w:r>
        <w:t xml:space="preserve">Issued for Use in China Beijing</w:t>
      </w:r>
    </w:p>
    <w:bookmarkEnd w:id="20"/>
    <w:p>
      <w:pPr>
        <w:pStyle w:val="BodyText"/>
      </w:pPr>
      <w:r>
        <w:rPr>
          <w:bCs/>
          <w:b/>
        </w:rPr>
        <w:t xml:space="preserve">Purchase Order No.:</w:t>
      </w:r>
      <w:r>
        <w:t xml:space="preserve"> </w:t>
      </w:r>
      <w:r>
        <w:t xml:space="preserve">PO-CB-2025-04871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Issuing Entity:</w:t>
      </w:r>
      <w:r>
        <w:t xml:space="preserve"> </w:t>
      </w:r>
      <w:r>
        <w:t xml:space="preserve">Meridian Global Trade Co., Ltd.</w:t>
      </w:r>
      <w:r>
        <w:br/>
      </w:r>
      <w:r>
        <w:rPr>
          <w:bCs/>
          <w:b/>
        </w:rPr>
        <w:t xml:space="preserve">Address:</w:t>
      </w:r>
      <w:r>
        <w:t xml:space="preserve"> </w:t>
      </w:r>
      <w:r>
        <w:t xml:space="preserve">28F, China World Tower, No. 1 Jianguomenwai Street, Chaoyang District, China Beijing</w:t>
      </w:r>
      <w:r>
        <w:br/>
      </w:r>
      <w:r>
        <w:rPr>
          <w:bCs/>
          <w:b/>
        </w:rPr>
        <w:t xml:space="preserve">Contact:</w:t>
      </w:r>
      <w:r>
        <w:t xml:space="preserve"> </w:t>
      </w:r>
      <w:r>
        <w:t xml:space="preserve">procurement@meridianglobal.cn</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Lawyer Name:</w:t>
            </w:r>
          </w:p>
        </w:tc>
        <w:tc>
          <w:tcPr/>
          <w:p>
            <w:pPr>
              <w:pStyle w:val="Compact"/>
              <w:jc w:val="left"/>
            </w:pPr>
            <w:r>
              <w:t xml:space="preserve">Mr. Zhang Wei (张 伟), Esq.</w:t>
            </w:r>
          </w:p>
        </w:tc>
      </w:tr>
      <w:tr>
        <w:tc>
          <w:tcPr/>
          <w:p>
            <w:pPr>
              <w:pStyle w:val="Compact"/>
              <w:jc w:val="left"/>
            </w:pPr>
            <w:r>
              <w:rPr>
                <w:bCs/>
                <w:b/>
              </w:rPr>
              <w:t xml:space="preserve">Law Firm:</w:t>
            </w:r>
          </w:p>
        </w:tc>
        <w:tc>
          <w:tcPr/>
          <w:p>
            <w:pPr>
              <w:pStyle w:val="Compact"/>
              <w:jc w:val="left"/>
            </w:pPr>
            <w:r>
              <w:t xml:space="preserve">Beijing Capital Law Partners LLP</w:t>
            </w:r>
          </w:p>
        </w:tc>
      </w:tr>
      <w:tr>
        <w:tc>
          <w:tcPr/>
          <w:p>
            <w:pPr>
              <w:pStyle w:val="Compact"/>
              <w:jc w:val="left"/>
            </w:pPr>
            <w:r>
              <w:rPr>
                <w:bCs/>
                <w:b/>
              </w:rPr>
              <w:t xml:space="preserve">Firm Address:</w:t>
            </w:r>
          </w:p>
        </w:tc>
        <w:tc>
          <w:tcPr/>
          <w:p>
            <w:pPr>
              <w:pStyle w:val="Compact"/>
              <w:jc w:val="left"/>
            </w:pPr>
            <w:r>
              <w:t xml:space="preserve">15F, Oriental Plaza, No. 1 Chaoyangmen North Street, Dongcheng District, China Beijing, 100010</w:t>
            </w:r>
          </w:p>
        </w:tc>
      </w:tr>
      <w:tr>
        <w:tc>
          <w:tcPr/>
          <w:p>
            <w:pPr>
              <w:pStyle w:val="Compact"/>
              <w:jc w:val="left"/>
            </w:pPr>
            <w:r>
              <w:rPr>
                <w:bCs/>
                <w:b/>
              </w:rPr>
              <w:t xml:space="preserve">Bar Registration No.:</w:t>
            </w:r>
          </w:p>
        </w:tc>
        <w:tc>
          <w:tcPr/>
          <w:p>
            <w:pPr>
              <w:pStyle w:val="Compact"/>
              <w:jc w:val="left"/>
            </w:pPr>
            <w:r>
              <w:t xml:space="preserve">111010201910087654 (Beijing Municipal Bar Association)</w:t>
            </w:r>
          </w:p>
        </w:tc>
      </w:tr>
      <w:tr>
        <w:tc>
          <w:tcPr/>
          <w:p>
            <w:pPr>
              <w:pStyle w:val="Compact"/>
              <w:jc w:val="left"/>
            </w:pPr>
            <w:r>
              <w:rPr>
                <w:bCs/>
                <w:b/>
              </w:rPr>
              <w:t xml:space="preserve">Specialization:</w:t>
            </w:r>
          </w:p>
        </w:tc>
        <w:tc>
          <w:tcPr/>
          <w:p>
            <w:pPr>
              <w:pStyle w:val="Compact"/>
              <w:jc w:val="left"/>
            </w:pPr>
            <w:r>
              <w:t xml:space="preserve">Corporate Law, Cross-Border Transactions, Intellectual Property, and Regulatory Compliance in China Beijing</w:t>
            </w:r>
          </w:p>
        </w:tc>
      </w:tr>
      <w:tr>
        <w:tc>
          <w:tcPr/>
          <w:p>
            <w:pPr>
              <w:pStyle w:val="Compact"/>
              <w:jc w:val="left"/>
            </w:pPr>
            <w:r>
              <w:rPr>
                <w:bCs/>
                <w:b/>
              </w:rPr>
              <w:t xml:space="preserve">Contact:</w:t>
            </w:r>
          </w:p>
        </w:tc>
        <w:tc>
          <w:tcPr/>
          <w:p>
            <w:pPr>
              <w:pStyle w:val="Compact"/>
              <w:jc w:val="left"/>
            </w:pPr>
            <w:r>
              <w:t xml:space="preserve">zhang.wei@bjcapitallaw.cn | +86-10-6528-3341</w:t>
            </w:r>
          </w:p>
        </w:tc>
      </w:tr>
      <w:tr>
        <w:tc>
          <w:tcPr/>
          <w:p>
            <w:pPr>
              <w:pStyle w:val="Compact"/>
              <w:jc w:val="left"/>
            </w:pPr>
            <w:r>
              <w:rPr>
                <w:bCs/>
                <w:b/>
              </w:rPr>
              <w:t xml:space="preserve">Unified Social Credit Code:</w:t>
            </w:r>
          </w:p>
        </w:tc>
        <w:tc>
          <w:tcPr/>
          <w:p>
            <w:pPr>
              <w:pStyle w:val="Compact"/>
              <w:jc w:val="left"/>
            </w:pPr>
            <w:r>
              <w:t xml:space="preserve">91110000MA01KX7B2P</w:t>
            </w:r>
          </w:p>
        </w:tc>
      </w:tr>
    </w:tbl>
    <w:p>
      <w:pPr>
        <w:pStyle w:val="BodyText"/>
      </w:pPr>
      <w:r>
        <w:t xml:space="preserve">2. Description of Services &amp; Line Items</w:t>
      </w:r>
    </w:p>
    <w:p>
      <w:pPr>
        <w:pStyle w:val="BodyText"/>
      </w:pPr>
      <w:r>
        <w:t xml:space="preserve">This Purchase Order is issued to formally engage the above-named Lawyer and associated legal team at Beijing Capital Law Partners LLP to provide comprehensive legal advisory and representation services in connection with the issuing entity's ongoing commercial operations and expansion activities within China Beijing. The scope of engagement is detailed in the line items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Legal Service</w:t>
            </w:r>
          </w:p>
        </w:tc>
        <w:tc>
          <w:tcPr/>
          <w:p>
            <w:pPr>
              <w:pStyle w:val="Compact"/>
              <w:jc w:val="left"/>
            </w:pPr>
            <w:r>
              <w:t xml:space="preserve">Unit</w:t>
            </w:r>
          </w:p>
        </w:tc>
        <w:tc>
          <w:tcPr/>
          <w:p>
            <w:pPr>
              <w:pStyle w:val="Compact"/>
              <w:jc w:val="left"/>
            </w:pPr>
            <w:r>
              <w:t xml:space="preserve">Rate (CNY)</w:t>
            </w:r>
          </w:p>
        </w:tc>
        <w:tc>
          <w:tcPr/>
          <w:p>
            <w:pPr>
              <w:pStyle w:val="Compact"/>
              <w:jc w:val="left"/>
            </w:pPr>
            <w:r>
              <w:t xml:space="preserve">Qty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Retained corporate counsel services for general business advisory, contract review, and compliance monitoring in China Beijing (monthly retainer)</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12</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Drafting and negotiation of cross-border joint venture agreement with foreign partner, including regulatory filings with the State Administration for Market Regulation in China Beijing</w:t>
            </w:r>
          </w:p>
        </w:tc>
        <w:tc>
          <w:tcPr/>
          <w:p>
            <w:pPr>
              <w:pStyle w:val="Compact"/>
              <w:jc w:val="left"/>
            </w:pPr>
            <w:r>
              <w:t xml:space="preserve">Project</w:t>
            </w:r>
          </w:p>
        </w:tc>
        <w:tc>
          <w:tcPr/>
          <w:p>
            <w:pPr>
              <w:pStyle w:val="Compact"/>
              <w:jc w:val="left"/>
            </w:pPr>
            <w:r>
              <w:t xml:space="preserve">180,000.00</w:t>
            </w:r>
          </w:p>
        </w:tc>
        <w:tc>
          <w:tcPr/>
          <w:p>
            <w:pPr>
              <w:pStyle w:val="Compact"/>
              <w:jc w:val="left"/>
            </w:pPr>
            <w:r>
              <w:t xml:space="preserve">1</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Intellectual property portfolio audit and trademark registration filings (5 trademarks) before the China National Intellectual Property Administration</w:t>
            </w:r>
          </w:p>
        </w:tc>
        <w:tc>
          <w:tcPr/>
          <w:p>
            <w:pPr>
              <w:pStyle w:val="Compact"/>
              <w:jc w:val="left"/>
            </w:pPr>
            <w:r>
              <w:t xml:space="preserve">Project</w:t>
            </w:r>
          </w:p>
        </w:tc>
        <w:tc>
          <w:tcPr/>
          <w:p>
            <w:pPr>
              <w:pStyle w:val="Compact"/>
              <w:jc w:val="left"/>
            </w:pPr>
            <w:r>
              <w:t xml:space="preserve">65,000.00</w:t>
            </w:r>
          </w:p>
        </w:tc>
        <w:tc>
          <w:tcPr/>
          <w:p>
            <w:pPr>
              <w:pStyle w:val="Compact"/>
              <w:jc w:val="left"/>
            </w:pPr>
            <w:r>
              <w:t xml:space="preserve">1</w:t>
            </w:r>
          </w:p>
        </w:tc>
        <w:tc>
          <w:tcPr/>
          <w:p>
            <w:pPr>
              <w:pStyle w:val="Compact"/>
              <w:jc w:val="left"/>
            </w:pPr>
            <w:r>
              <w:t xml:space="preserve">65,000.00</w:t>
            </w:r>
          </w:p>
        </w:tc>
      </w:tr>
      <w:tr>
        <w:tc>
          <w:tcPr/>
          <w:p>
            <w:pPr>
              <w:pStyle w:val="Compact"/>
              <w:jc w:val="left"/>
            </w:pPr>
            <w:r>
              <w:t xml:space="preserve">04</w:t>
            </w:r>
          </w:p>
        </w:tc>
        <w:tc>
          <w:tcPr/>
          <w:p>
            <w:pPr>
              <w:pStyle w:val="Compact"/>
              <w:jc w:val="left"/>
            </w:pPr>
            <w:r>
              <w:t xml:space="preserve">Labor law compliance review for 200+ employees in China Beijing offices, including employment contract standardization and severance policy advisory</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1</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Dispute resolution representation before the Beijing Arbitration Commission (BAC) in a commercial contract dispute (estimated 40 hours)</w:t>
            </w:r>
          </w:p>
        </w:tc>
        <w:tc>
          <w:tcPr/>
          <w:p>
            <w:pPr>
              <w:pStyle w:val="Compact"/>
              <w:jc w:val="left"/>
            </w:pPr>
            <w:r>
              <w:t xml:space="preserve">Hour</w:t>
            </w:r>
          </w:p>
        </w:tc>
        <w:tc>
          <w:tcPr/>
          <w:p>
            <w:pPr>
              <w:pStyle w:val="Compact"/>
              <w:jc w:val="left"/>
            </w:pPr>
            <w:r>
              <w:t xml:space="preserve">2,500.00</w:t>
            </w:r>
          </w:p>
        </w:tc>
        <w:tc>
          <w:tcPr/>
          <w:p>
            <w:pPr>
              <w:pStyle w:val="Compact"/>
              <w:jc w:val="left"/>
            </w:pPr>
            <w:r>
              <w:t xml:space="preserve">40</w:t>
            </w:r>
          </w:p>
        </w:tc>
        <w:tc>
          <w:tcPr/>
          <w:p>
            <w:pPr>
              <w:pStyle w:val="Compact"/>
              <w:jc w:val="left"/>
            </w:pPr>
            <w:r>
              <w:t xml:space="preserve">100,000.00</w:t>
            </w:r>
          </w:p>
        </w:tc>
      </w:tr>
      <w:tr>
        <w:tc>
          <w:tcPr/>
          <w:p>
            <w:pPr>
              <w:pStyle w:val="Compact"/>
              <w:jc w:val="left"/>
            </w:pPr>
            <w:r>
              <w:t xml:space="preserve">06</w:t>
            </w:r>
          </w:p>
        </w:tc>
        <w:tc>
          <w:tcPr/>
          <w:p>
            <w:pPr>
              <w:pStyle w:val="Compact"/>
              <w:jc w:val="left"/>
            </w:pPr>
            <w:r>
              <w:t xml:space="preserve">Regulatory compliance advisory for data protection under the Personal Information Protection Law (PIPL) and Cybersecurity Law applicable to operations in China Beijing</w:t>
            </w:r>
          </w:p>
        </w:tc>
        <w:tc>
          <w:tcPr/>
          <w:p>
            <w:pPr>
              <w:pStyle w:val="Compact"/>
              <w:jc w:val="left"/>
            </w:pPr>
            <w:r>
              <w:t xml:space="preserve">Project</w:t>
            </w:r>
          </w:p>
        </w:tc>
        <w:tc>
          <w:tcPr/>
          <w:p>
            <w:pPr>
              <w:pStyle w:val="Compact"/>
              <w:jc w:val="left"/>
            </w:pPr>
            <w:r>
              <w:t xml:space="preserve">78,000.00</w:t>
            </w:r>
          </w:p>
        </w:tc>
        <w:tc>
          <w:tcPr/>
          <w:p>
            <w:pPr>
              <w:pStyle w:val="Compact"/>
              <w:jc w:val="left"/>
            </w:pPr>
            <w:r>
              <w:t xml:space="preserve">1</w:t>
            </w:r>
          </w:p>
        </w:tc>
        <w:tc>
          <w:tcPr/>
          <w:p>
            <w:pPr>
              <w:pStyle w:val="Compact"/>
              <w:jc w:val="left"/>
            </w:pPr>
            <w:r>
              <w:t xml:space="preserve">78,000.00</w:t>
            </w:r>
          </w:p>
        </w:tc>
      </w:tr>
      <w:tr>
        <w:tc>
          <w:tcPr>
            <w:gridSpan w:val="5"/>
          </w:tcPr>
          <w:p>
            <w:pPr>
              <w:pStyle w:val="Compact"/>
              <w:jc w:val="right"/>
            </w:pPr>
            <w:r>
              <w:t xml:space="preserve">TOTAL AMOUNT (CNY):</w:t>
            </w:r>
          </w:p>
        </w:tc>
        <w:tc>
          <w:tcPr/>
          <w:p>
            <w:pPr>
              <w:pStyle w:val="Compact"/>
              <w:jc w:val="left"/>
            </w:pPr>
            <w:r>
              <w:t xml:space="preserve">1,058,000.00</w:t>
            </w:r>
          </w:p>
        </w:tc>
      </w:tr>
      <w:tr>
        <w:tc>
          <w:tcPr>
            <w:gridSpan w:val="5"/>
          </w:tcPr>
          <w:p>
            <w:pPr>
              <w:pStyle w:val="Compact"/>
              <w:jc w:val="right"/>
            </w:pPr>
            <w:r>
              <w:t xml:space="preserve">VAT (6%):</w:t>
            </w:r>
          </w:p>
        </w:tc>
        <w:tc>
          <w:tcPr/>
          <w:p>
            <w:pPr>
              <w:pStyle w:val="Compact"/>
              <w:jc w:val="left"/>
            </w:pPr>
            <w:r>
              <w:t xml:space="preserve">63,480.00</w:t>
            </w:r>
          </w:p>
        </w:tc>
      </w:tr>
      <w:tr>
        <w:tc>
          <w:tcPr>
            <w:gridSpan w:val="5"/>
          </w:tcPr>
          <w:p>
            <w:pPr>
              <w:pStyle w:val="Compact"/>
              <w:jc w:val="right"/>
            </w:pPr>
            <w:r>
              <w:t xml:space="preserve">GRAND TOTAL (CNY):</w:t>
            </w:r>
          </w:p>
        </w:tc>
        <w:tc>
          <w:tcPr/>
          <w:p>
            <w:pPr>
              <w:pStyle w:val="Compact"/>
              <w:jc w:val="left"/>
            </w:pPr>
            <w:r>
              <w:t xml:space="preserve">1,121,480.00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Lawyer and Beijing Capital Law Partners LLP. Acceptance must be returned to the issuing entity within five (5) business days of the date of issue.</w:t>
      </w:r>
    </w:p>
    <w:p>
      <w:pPr>
        <w:numPr>
          <w:ilvl w:val="0"/>
          <w:numId w:val="1001"/>
        </w:numPr>
        <w:pStyle w:val="Compact"/>
      </w:pPr>
      <w:r>
        <w:rPr>
          <w:bCs/>
          <w:b/>
        </w:rPr>
        <w:t xml:space="preserve">Scope Limitation:</w:t>
      </w:r>
      <w:r>
        <w:t xml:space="preserve"> </w:t>
      </w:r>
      <w:r>
        <w:t xml:space="preserve">The Lawyer shall perform all services in strict accordance with the scope described in Section 2. Any additional services beyond this Purchase Order shall require a written amendment signed by both parties.</w:t>
      </w:r>
    </w:p>
    <w:p>
      <w:pPr>
        <w:numPr>
          <w:ilvl w:val="0"/>
          <w:numId w:val="1001"/>
        </w:numPr>
        <w:pStyle w:val="Compact"/>
      </w:pPr>
      <w:r>
        <w:rPr>
          <w:bCs/>
          <w:b/>
        </w:rPr>
        <w:t xml:space="preserve">Payment Terms:</w:t>
      </w:r>
      <w:r>
        <w:t xml:space="preserve"> </w:t>
      </w:r>
      <w:r>
        <w:t xml:space="preserve">Payment shall be made in RMB (CNY) via bank transfer to the firm's designated account. The monthly retainer (Item 01) is payable on the 5th business day of each month. Project-based fees (Items 02–04, 06) are payable 50% upon engagement and 50% upon completion. Hourly fees (Item 05) are invoiced monthly in arrears.</w:t>
      </w:r>
    </w:p>
    <w:p>
      <w:pPr>
        <w:numPr>
          <w:ilvl w:val="0"/>
          <w:numId w:val="1001"/>
        </w:numPr>
        <w:pStyle w:val="Compact"/>
      </w:pPr>
      <w:r>
        <w:rPr>
          <w:bCs/>
          <w:b/>
        </w:rPr>
        <w:t xml:space="preserve">Confidentiality:</w:t>
      </w:r>
      <w:r>
        <w:t xml:space="preserve"> </w:t>
      </w:r>
      <w:r>
        <w:t xml:space="preserve">The Lawyer and all associated personnel shall maintain strict confidentiality of all information disclosed in connection with this Purchase Order. This obligation survives termination of the engagement for a period of five (5) years, in compliance with the Attorney-Client Privilege provisions under the Lawyers Law of the People's Republic of China.</w:t>
      </w:r>
    </w:p>
    <w:p>
      <w:pPr>
        <w:numPr>
          <w:ilvl w:val="0"/>
          <w:numId w:val="1001"/>
        </w:numPr>
        <w:pStyle w:val="Compact"/>
      </w:pPr>
      <w:r>
        <w:rPr>
          <w:bCs/>
          <w:b/>
        </w:rPr>
        <w:t xml:space="preserve">Compliance with Chinese Law:</w:t>
      </w:r>
      <w:r>
        <w:t xml:space="preserve"> </w:t>
      </w:r>
      <w:r>
        <w:t xml:space="preserve">All services rendered under this Purchase Order shall comply with the laws and regulations of the People's Republic of China, including but not limited to the Lawyers Law, the Civil Code, and all applicable regulations of the Beijing Municipal Justice Bureau governing legal practice in China Beijing.</w:t>
      </w:r>
    </w:p>
    <w:p>
      <w:pPr>
        <w:numPr>
          <w:ilvl w:val="0"/>
          <w:numId w:val="1001"/>
        </w:numPr>
        <w:pStyle w:val="Compact"/>
      </w:pPr>
      <w:r>
        <w:rPr>
          <w:bCs/>
          <w:b/>
        </w:rPr>
        <w:t xml:space="preserve">Conflict of Interest:</w:t>
      </w:r>
      <w:r>
        <w:t xml:space="preserve"> </w:t>
      </w:r>
      <w:r>
        <w:t xml:space="preserve">The Lawyer warrants that no conflict of interest exists or will arise during the term of this Purchase Order. The Lawyer shall immediately notify the issuing entity in writing should any potential conflict emerge.</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issuing entity shall pay for all services rendered up to the effective date of termination. The retainer fee for the final month shall be prorated.</w:t>
      </w:r>
    </w:p>
    <w:p>
      <w:pPr>
        <w:numPr>
          <w:ilvl w:val="0"/>
          <w:numId w:val="1001"/>
        </w:numPr>
        <w:pStyle w:val="Compact"/>
      </w:pPr>
      <w:r>
        <w:rPr>
          <w:bCs/>
          <w:b/>
        </w:rPr>
        <w:t xml:space="preserve">Governing Law and Dispute Resolution:</w:t>
      </w:r>
      <w:r>
        <w:t xml:space="preserve"> </w:t>
      </w:r>
      <w:r>
        <w:t xml:space="preserve">This Purchase Order shall be governed by the laws of the People's Republic of China. Any dispute arising from or in connection with this Purchase Order shall be submitted to the Beijing Arbitration Commission (BAC) for arbitration in China Beijing in accordance with its then-current arbitration rules. The arbitral award shall be final and binding.</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operations in China Beijing.</w:t>
      </w:r>
    </w:p>
    <w:p>
      <w:pPr>
        <w:numPr>
          <w:ilvl w:val="0"/>
          <w:numId w:val="1001"/>
        </w:numPr>
        <w:pStyle w:val="Compact"/>
      </w:pPr>
      <w:r>
        <w:rPr>
          <w:bCs/>
          <w:b/>
        </w:rPr>
        <w:t xml:space="preserve">Entire Agreement:</w:t>
      </w:r>
      <w:r>
        <w:t xml:space="preserve"> </w:t>
      </w:r>
      <w:r>
        <w:t xml:space="preserve">This Purchase Order, together with any attached schedules and the firm's standard engagement letter, constitutes the entire agreement between the parties regarding the engagement of the Lawyer for the services described herein.</w:t>
      </w:r>
    </w:p>
    <w:p>
      <w:pPr>
        <w:pStyle w:val="FirstParagraph"/>
      </w:pPr>
      <w:r>
        <w:rPr>
          <w:bCs/>
          <w:b/>
        </w:rPr>
        <w:t xml:space="preserve">Note:</w:t>
      </w:r>
      <w:r>
        <w:t xml:space="preserve"> </w:t>
      </w:r>
      <w:r>
        <w:t xml:space="preserve">This Purchase Order is issued in accordance with the internal procurement policies of Meridian Global Trade Co., Ltd. and the regulatory requirements for legal service engagements in China Beijing. All fees are quoted in Renminbi (CNY) and are subject to the applicable 6% Value Added Tax (VAT) for legal services as prescribed by the State Taxation Administration. The Lawyer shall issue a compliant VAT invoice (fapiao) for each payment received.</w:t>
      </w:r>
    </w:p>
    <w:p>
      <w:pPr>
        <w:pStyle w:val="BodyText"/>
      </w:pPr>
      <w:r>
        <w:t xml:space="preserve">4. Authorization and Signatures</w:t>
      </w:r>
    </w:p>
    <w:p>
      <w:pPr>
        <w:pStyle w:val="BodyText"/>
      </w:pPr>
      <w:r>
        <w:rPr>
          <w:bCs/>
          <w:b/>
        </w:rPr>
        <w:t xml:space="preserve">For and on behalf of Meridian Global Trade Co., Ltd.:</w:t>
      </w:r>
    </w:p>
    <w:p>
      <w:pPr>
        <w:pStyle w:val="BodyText"/>
      </w:pPr>
      <w:r>
        <w:t xml:space="preserve">Name: Li Fang (李 芳)</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Beijing Capital Law Partners LLP:</w:t>
      </w:r>
    </w:p>
    <w:p>
      <w:pPr>
        <w:pStyle w:val="BodyText"/>
      </w:pPr>
      <w:r>
        <w:t xml:space="preserve">Name: Zhang Wei (张 伟), Esq.</w:t>
      </w:r>
      <w:r>
        <w:br/>
      </w:r>
      <w:r>
        <w:t xml:space="preserve">Title: Senior Partner / Engaged Lawyer</w:t>
      </w:r>
      <w:r>
        <w:br/>
      </w:r>
      <w:r>
        <w:t xml:space="preserve">Signature: _________________________</w:t>
      </w:r>
      <w:r>
        <w:br/>
      </w:r>
      <w:r>
        <w:t xml:space="preserve">Date: _________________________</w:t>
      </w:r>
    </w:p>
    <w:p>
      <w:pPr>
        <w:pStyle w:val="BodyText"/>
      </w:pPr>
      <w:r>
        <w:t xml:space="preserve">Purchase Order No. PO-CB-2025-04871 | Issued in China Beijing | Page 1 of 1</w:t>
      </w:r>
    </w:p>
    <w:p>
      <w:pPr>
        <w:pStyle w:val="BodyText"/>
      </w:pPr>
      <w:r>
        <w:t xml:space="preserve">This document is a controlled procurement record. Unauthorized reproduction or distribution is prohibited. © 2025 Meridian Global Trade Co.,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China Beijing</dc:title>
  <dc:creator/>
  <dc:language>en</dc:language>
  <cp:keywords/>
  <dcterms:created xsi:type="dcterms:W3CDTF">2026-10-10T09:13:36Z</dcterms:created>
  <dcterms:modified xsi:type="dcterms:W3CDTF">2026-10-10T09:13:36Z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