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t xml:space="preserve">Legal Services Procurement Document — Alexandria, Egypt</w:t>
      </w:r>
    </w:p>
    <w:p>
      <w:pPr>
        <w:pStyle w:val="BodyText"/>
      </w:pPr>
      <w:r>
        <w:t xml:space="preserve">PO No.: ALE-2025-04782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Mediterranean Commercial Holdings S.A.E.</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Tax ID (VAT):</w:t>
      </w:r>
      <w:r>
        <w:t xml:space="preserve"> </w:t>
      </w:r>
      <w:r>
        <w:t xml:space="preserve">552-884-103-772</w:t>
      </w:r>
    </w:p>
    <w:p>
      <w:pPr>
        <w:pStyle w:val="BodyText"/>
      </w:pPr>
      <w:r>
        <w:rPr>
          <w:bCs/>
          <w:b/>
        </w:rPr>
        <w:t xml:space="preserve">Commercial Reg. No.:</w:t>
      </w:r>
      <w:r>
        <w:t xml:space="preserve"> </w:t>
      </w:r>
      <w:r>
        <w:t xml:space="preserve">114-2019-00387</w:t>
      </w:r>
    </w:p>
    <w:p>
      <w:pPr>
        <w:pStyle w:val="BodyText"/>
      </w:pPr>
      <w:r>
        <w:rPr>
          <w:bCs/>
          <w:b/>
        </w:rPr>
        <w:t xml:space="preserve">Contact:</w:t>
      </w:r>
      <w:r>
        <w:t xml:space="preserve"> </w:t>
      </w:r>
      <w:r>
        <w:t xml:space="preserve">Mr. Tarek El-Sayed, Procurement Director</w:t>
      </w:r>
    </w:p>
    <w:p>
      <w:pPr>
        <w:pStyle w:val="BodyText"/>
      </w:pPr>
      <w:r>
        <w:rPr>
          <w:bCs/>
          <w:b/>
        </w:rPr>
        <w:t xml:space="preserve">Email:</w:t>
      </w:r>
      <w:r>
        <w:t xml:space="preserve"> </w:t>
      </w:r>
      <w:r>
        <w:t xml:space="preserve">procurement@mch-alex.com</w:t>
      </w:r>
    </w:p>
    <w:bookmarkEnd w:id="21"/>
    <w:bookmarkStart w:id="22" w:name="service-provider-lawyer-vendor"/>
    <w:p>
      <w:pPr>
        <w:pStyle w:val="Heading3"/>
      </w:pPr>
      <w:r>
        <w:t xml:space="preserve">Service Provider (Lawyer / Vendor)</w:t>
      </w:r>
    </w:p>
    <w:p>
      <w:pPr>
        <w:pStyle w:val="FirstParagraph"/>
      </w:pPr>
      <w:r>
        <w:rPr>
          <w:bCs/>
          <w:b/>
        </w:rPr>
        <w:t xml:space="preserve">Firm:</w:t>
      </w:r>
      <w:r>
        <w:t xml:space="preserve"> </w:t>
      </w:r>
      <w:r>
        <w:t xml:space="preserve">El-Nahda &amp; Partners Legal Counsel</w:t>
      </w:r>
    </w:p>
    <w:p>
      <w:pPr>
        <w:pStyle w:val="BodyText"/>
      </w:pPr>
      <w:r>
        <w:rPr>
          <w:bCs/>
          <w:b/>
        </w:rPr>
        <w:t xml:space="preserve">Lead Lawyer:</w:t>
      </w:r>
      <w:r>
        <w:t xml:space="preserve"> </w:t>
      </w:r>
      <w:r>
        <w:t xml:space="preserve">Adv. Dr. Mona Fathy Abdel-Rahman</w:t>
      </w:r>
    </w:p>
    <w:p>
      <w:pPr>
        <w:pStyle w:val="BodyText"/>
      </w:pPr>
      <w:r>
        <w:rPr>
          <w:bCs/>
          <w:b/>
        </w:rPr>
        <w:t xml:space="preserve">Address:</w:t>
      </w:r>
      <w:r>
        <w:t xml:space="preserve"> </w:t>
      </w:r>
      <w:r>
        <w:t xml:space="preserve">18 Fouad Street, Aboukir District, Alexandria, Egypt</w:t>
      </w:r>
    </w:p>
    <w:p>
      <w:pPr>
        <w:pStyle w:val="BodyText"/>
      </w:pPr>
      <w:r>
        <w:rPr>
          <w:bCs/>
          <w:b/>
        </w:rPr>
        <w:t xml:space="preserve">Bar Registration:</w:t>
      </w:r>
      <w:r>
        <w:t xml:space="preserve"> </w:t>
      </w:r>
      <w:r>
        <w:t xml:space="preserve">Alexandria Bar Association, Reg. No. 4471</w:t>
      </w:r>
    </w:p>
    <w:p>
      <w:pPr>
        <w:pStyle w:val="BodyText"/>
      </w:pPr>
      <w:r>
        <w:rPr>
          <w:bCs/>
          <w:b/>
        </w:rPr>
        <w:t xml:space="preserve">Tax ID (VAT):</w:t>
      </w:r>
      <w:r>
        <w:t xml:space="preserve"> </w:t>
      </w:r>
      <w:r>
        <w:t xml:space="preserve">552-991-204-638</w:t>
      </w:r>
    </w:p>
    <w:p>
      <w:pPr>
        <w:pStyle w:val="BodyText"/>
      </w:pPr>
      <w:r>
        <w:rPr>
          <w:bCs/>
          <w:b/>
        </w:rPr>
        <w:t xml:space="preserve">Contact:</w:t>
      </w:r>
      <w:r>
        <w:t xml:space="preserve"> </w:t>
      </w:r>
      <w:r>
        <w:t xml:space="preserve">Adv. Dr. Mona Fathy, +20 3 482 7719</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Service Start:</w:t>
      </w:r>
      <w:r>
        <w:t xml:space="preserve"> </w:t>
      </w:r>
      <w:r>
        <w:t xml:space="preserve">23 June 2025</w:t>
      </w:r>
    </w:p>
    <w:p>
      <w:pPr>
        <w:pStyle w:val="BodyText"/>
      </w:pPr>
      <w:r>
        <w:rPr>
          <w:bCs/>
          <w:b/>
        </w:rPr>
        <w:t xml:space="preserve">Required Completion:</w:t>
      </w:r>
      <w:r>
        <w:t xml:space="preserve"> </w:t>
      </w:r>
      <w:r>
        <w:t xml:space="preserve">30 November 2025</w:t>
      </w:r>
    </w:p>
    <w:p>
      <w:pPr>
        <w:pStyle w:val="BodyText"/>
      </w:pPr>
      <w:r>
        <w:rPr>
          <w:bCs/>
          <w:b/>
        </w:rPr>
        <w:t xml:space="preserve">Payment Terms:</w:t>
      </w:r>
      <w:r>
        <w:t xml:space="preserve"> </w:t>
      </w:r>
      <w:r>
        <w:t xml:space="preserve">50% upon engagement, 50% upon final deliverable</w:t>
      </w:r>
    </w:p>
    <w:p>
      <w:pPr>
        <w:pStyle w:val="BodyText"/>
      </w:pPr>
      <w:r>
        <w:rPr>
          <w:bCs/>
          <w:b/>
        </w:rPr>
        <w:t xml:space="preserve">Currency:</w:t>
      </w:r>
      <w:r>
        <w:t xml:space="preserve"> </w:t>
      </w:r>
      <w:r>
        <w:t xml:space="preserve">Egyptian Pound (EGP)</w:t>
      </w:r>
    </w:p>
    <w:bookmarkEnd w:id="23"/>
    <w:bookmarkStart w:id="24" w:name="reference-jurisdiction"/>
    <w:p>
      <w:pPr>
        <w:pStyle w:val="Heading3"/>
      </w:pPr>
      <w:r>
        <w:t xml:space="preserve">Reference &amp; Jurisdiction</w:t>
      </w:r>
    </w:p>
    <w:p>
      <w:pPr>
        <w:pStyle w:val="FirstParagraph"/>
      </w:pPr>
      <w:r>
        <w:rPr>
          <w:bCs/>
          <w:b/>
        </w:rPr>
        <w:t xml:space="preserve">Governing Law:</w:t>
      </w:r>
      <w:r>
        <w:t xml:space="preserve"> </w:t>
      </w:r>
      <w:r>
        <w:t xml:space="preserve">Egyptian Civil Code &amp; Commercial Code</w:t>
      </w:r>
    </w:p>
    <w:p>
      <w:pPr>
        <w:pStyle w:val="BodyText"/>
      </w:pPr>
      <w:r>
        <w:rPr>
          <w:bCs/>
          <w:b/>
        </w:rPr>
        <w:t xml:space="preserve">Jurisdiction:</w:t>
      </w:r>
      <w:r>
        <w:t xml:space="preserve"> </w:t>
      </w:r>
      <w:r>
        <w:t xml:space="preserve">Alexandria Court of First Instance</w:t>
      </w:r>
    </w:p>
    <w:p>
      <w:pPr>
        <w:pStyle w:val="BodyText"/>
      </w:pPr>
      <w:r>
        <w:rPr>
          <w:bCs/>
          <w:b/>
        </w:rPr>
        <w:t xml:space="preserve">Arbitration (if applicable):</w:t>
      </w:r>
      <w:r>
        <w:t xml:space="preserve"> </w:t>
      </w:r>
      <w:r>
        <w:t xml:space="preserve">Alexandria Chamber of Commerce</w:t>
      </w:r>
    </w:p>
    <w:p>
      <w:pPr>
        <w:pStyle w:val="BodyText"/>
      </w:pPr>
      <w:r>
        <w:rPr>
          <w:bCs/>
          <w:b/>
        </w:rPr>
        <w:t xml:space="preserve">Internal Ref.:</w:t>
      </w:r>
      <w:r>
        <w:t xml:space="preserve"> </w:t>
      </w:r>
      <w:r>
        <w:t xml:space="preserve">MCH-LGL-2025-019</w:t>
      </w:r>
    </w:p>
    <w:bookmarkEnd w:id="24"/>
    <w:p>
      <w:pPr>
        <w:pStyle w:val="BodyText"/>
      </w:pPr>
      <w:r>
        <w:t xml:space="preserve">1. Description of Legal Services Procured</w:t>
      </w:r>
    </w:p>
    <w:p>
      <w:pPr>
        <w:pStyle w:val="BodyText"/>
      </w:pPr>
      <w:r>
        <w:t xml:space="preserve">This Purchase Order is issued by Mediterranean Commercial Holdings S.A.E., a company duly registered and operating in Alexandria, Egypt, to engage the services of Adv. Dr. Mona Fathy Abdel-Rahman, a licensed Lawyer registered with the Alexandria Bar Association, for the provision of comprehensive legal counsel and representation. The Lawyer shall act as the primary legal representative of the Purchasing Entity in all matters pertaining to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Fee (EGP)</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Full legal review and restructuring of the commercial lease agreement for the warehouse facility located in the East Port area, Alexandria, Egypt, including negotiation with the lessor and preparation of an amended lease deed compliant with Egyptian Law No. 164 of 1970 (Lease Law).</w:t>
            </w:r>
          </w:p>
        </w:tc>
        <w:tc>
          <w:tcPr/>
          <w:p>
            <w:pPr>
              <w:pStyle w:val="Compact"/>
              <w:jc w:val="left"/>
            </w:pPr>
            <w:r>
              <w:t xml:space="preserve">June – July 2025</w:t>
            </w:r>
          </w:p>
        </w:tc>
        <w:tc>
          <w:tcPr/>
          <w:p>
            <w:pPr>
              <w:pStyle w:val="Compact"/>
              <w:jc w:val="left"/>
            </w:pPr>
            <w:r>
              <w:t xml:space="preserve">45,000</w:t>
            </w:r>
          </w:p>
        </w:tc>
        <w:tc>
          <w:tcPr/>
          <w:p>
            <w:pPr>
              <w:pStyle w:val="Compact"/>
              <w:jc w:val="left"/>
            </w:pPr>
            <w:r>
              <w:t xml:space="preserve">Amended Lease Deed &amp; Legal Opinion</w:t>
            </w:r>
          </w:p>
        </w:tc>
      </w:tr>
      <w:tr>
        <w:tc>
          <w:tcPr/>
          <w:p>
            <w:pPr>
              <w:pStyle w:val="Compact"/>
              <w:jc w:val="left"/>
            </w:pPr>
            <w:r>
              <w:t xml:space="preserve">2</w:t>
            </w:r>
          </w:p>
        </w:tc>
        <w:tc>
          <w:tcPr/>
          <w:p>
            <w:pPr>
              <w:pStyle w:val="Compact"/>
              <w:jc w:val="left"/>
            </w:pPr>
            <w:r>
              <w:t xml:space="preserve">Representation before the Alexandria Court of First Instance in the pending commercial dispute case No. 2214/2025 (MCH v. Delta Logistics Co.), including drafting of all pleadings, motions, and attendance at all scheduled hearings.</w:t>
            </w:r>
          </w:p>
        </w:tc>
        <w:tc>
          <w:tcPr/>
          <w:p>
            <w:pPr>
              <w:pStyle w:val="Compact"/>
              <w:jc w:val="left"/>
            </w:pPr>
            <w:r>
              <w:t xml:space="preserve">July – October 2025</w:t>
            </w:r>
          </w:p>
        </w:tc>
        <w:tc>
          <w:tcPr/>
          <w:p>
            <w:pPr>
              <w:pStyle w:val="Compact"/>
              <w:jc w:val="left"/>
            </w:pPr>
            <w:r>
              <w:t xml:space="preserve">120,000</w:t>
            </w:r>
          </w:p>
        </w:tc>
        <w:tc>
          <w:tcPr/>
          <w:p>
            <w:pPr>
              <w:pStyle w:val="Compact"/>
              <w:jc w:val="left"/>
            </w:pPr>
            <w:r>
              <w:t xml:space="preserve">Court Filings &amp; Final Judgment</w:t>
            </w:r>
          </w:p>
        </w:tc>
      </w:tr>
      <w:tr>
        <w:tc>
          <w:tcPr/>
          <w:p>
            <w:pPr>
              <w:pStyle w:val="Compact"/>
              <w:jc w:val="left"/>
            </w:pPr>
            <w:r>
              <w:t xml:space="preserve">3</w:t>
            </w:r>
          </w:p>
        </w:tc>
        <w:tc>
          <w:tcPr/>
          <w:p>
            <w:pPr>
              <w:pStyle w:val="Compact"/>
              <w:jc w:val="left"/>
            </w:pPr>
            <w:r>
              <w:t xml:space="preserve">Preparation and filing of a trademark registration application with the Egyptian Trademark and Design Office (Ministry of Trade and Industry) for the brand "Mediterranean Fresh" in Classes 29, 30, and 31, with full follow-up until registration certificate issuance.</w:t>
            </w:r>
          </w:p>
        </w:tc>
        <w:tc>
          <w:tcPr/>
          <w:p>
            <w:pPr>
              <w:pStyle w:val="Compact"/>
              <w:jc w:val="left"/>
            </w:pPr>
            <w:r>
              <w:t xml:space="preserve">August – September 2025</w:t>
            </w:r>
          </w:p>
        </w:tc>
        <w:tc>
          <w:tcPr/>
          <w:p>
            <w:pPr>
              <w:pStyle w:val="Compact"/>
              <w:jc w:val="left"/>
            </w:pPr>
            <w:r>
              <w:t xml:space="preserve">35,000</w:t>
            </w:r>
          </w:p>
        </w:tc>
        <w:tc>
          <w:tcPr/>
          <w:p>
            <w:pPr>
              <w:pStyle w:val="Compact"/>
              <w:jc w:val="left"/>
            </w:pPr>
            <w:r>
              <w:t xml:space="preserve">Registration Certificate</w:t>
            </w:r>
          </w:p>
        </w:tc>
      </w:tr>
      <w:tr>
        <w:tc>
          <w:tcPr/>
          <w:p>
            <w:pPr>
              <w:pStyle w:val="Compact"/>
              <w:jc w:val="left"/>
            </w:pPr>
            <w:r>
              <w:t xml:space="preserve">4</w:t>
            </w:r>
          </w:p>
        </w:tc>
        <w:tc>
          <w:tcPr/>
          <w:p>
            <w:pPr>
              <w:pStyle w:val="Compact"/>
              <w:jc w:val="left"/>
            </w:pPr>
            <w:r>
              <w:t xml:space="preserve">Comprehensive labor law compliance audit of all employment contracts, workplace policies, and social insurance filings in accordance with Egyptian Labor Law No. 12 of 2003 and its amendments, with a written remediation plan.</w:t>
            </w:r>
          </w:p>
        </w:tc>
        <w:tc>
          <w:tcPr/>
          <w:p>
            <w:pPr>
              <w:pStyle w:val="Compact"/>
              <w:jc w:val="left"/>
            </w:pPr>
            <w:r>
              <w:t xml:space="preserve">September – October 2025</w:t>
            </w:r>
          </w:p>
        </w:tc>
        <w:tc>
          <w:tcPr/>
          <w:p>
            <w:pPr>
              <w:pStyle w:val="Compact"/>
              <w:jc w:val="left"/>
            </w:pPr>
            <w:r>
              <w:t xml:space="preserve">55,000</w:t>
            </w:r>
          </w:p>
        </w:tc>
        <w:tc>
          <w:tcPr/>
          <w:p>
            <w:pPr>
              <w:pStyle w:val="Compact"/>
              <w:jc w:val="left"/>
            </w:pPr>
            <w:r>
              <w:t xml:space="preserve">Audit Report &amp; Remediation Plan</w:t>
            </w:r>
          </w:p>
        </w:tc>
      </w:tr>
      <w:tr>
        <w:tc>
          <w:tcPr/>
          <w:p>
            <w:pPr>
              <w:pStyle w:val="Compact"/>
              <w:jc w:val="left"/>
            </w:pPr>
            <w:r>
              <w:t xml:space="preserve">5</w:t>
            </w:r>
          </w:p>
        </w:tc>
        <w:tc>
          <w:tcPr/>
          <w:p>
            <w:pPr>
              <w:pStyle w:val="Compact"/>
              <w:jc w:val="left"/>
            </w:pPr>
            <w:r>
              <w:t xml:space="preserve">Drafting and execution of a joint venture agreement with a foreign partner for a proposed seafood processing plant in the Alexandria Special Economic Zone, including due diligence on the counterparty and regulatory approvals from the Alexandria Governorate.</w:t>
            </w:r>
          </w:p>
        </w:tc>
        <w:tc>
          <w:tcPr/>
          <w:p>
            <w:pPr>
              <w:pStyle w:val="Compact"/>
              <w:jc w:val="left"/>
            </w:pPr>
            <w:r>
              <w:t xml:space="preserve">October – November 2025</w:t>
            </w:r>
          </w:p>
        </w:tc>
        <w:tc>
          <w:tcPr/>
          <w:p>
            <w:pPr>
              <w:pStyle w:val="Compact"/>
              <w:jc w:val="left"/>
            </w:pPr>
            <w:r>
              <w:t xml:space="preserve">85,000</w:t>
            </w:r>
          </w:p>
        </w:tc>
        <w:tc>
          <w:tcPr/>
          <w:p>
            <w:pPr>
              <w:pStyle w:val="Compact"/>
              <w:jc w:val="left"/>
            </w:pPr>
            <w:r>
              <w:t xml:space="preserve">Executed JV Agreement &amp; Approvals</w:t>
            </w:r>
          </w:p>
        </w:tc>
      </w:tr>
      <w:tr>
        <w:tc>
          <w:tcPr>
            <w:gridSpan w:val="3"/>
          </w:tcPr>
          <w:p>
            <w:pPr>
              <w:pStyle w:val="Compact"/>
              <w:jc w:val="left"/>
            </w:pPr>
            <w:r>
              <w:t xml:space="preserve">TOTAL CONTRACTED FEE (excl. VAT)</w:t>
            </w:r>
          </w:p>
        </w:tc>
        <w:tc>
          <w:tcPr/>
          <w:p>
            <w:pPr>
              <w:pStyle w:val="Compact"/>
              <w:jc w:val="left"/>
            </w:pPr>
            <w:r>
              <w:t xml:space="preserve">340,000</w:t>
            </w:r>
          </w:p>
        </w:tc>
        <w:tc>
          <w:tcPr/>
          <w:p>
            <w:pPr>
              <w:pStyle w:val="Compact"/>
            </w:pPr>
          </w:p>
        </w:tc>
      </w:tr>
      <w:tr>
        <w:tc>
          <w:tcPr>
            <w:gridSpan w:val="3"/>
          </w:tcPr>
          <w:p>
            <w:pPr>
              <w:pStyle w:val="Compact"/>
              <w:jc w:val="left"/>
            </w:pPr>
            <w:r>
              <w:t xml:space="preserve">VAT (14% per Egyptian Tax Authority)</w:t>
            </w:r>
          </w:p>
        </w:tc>
        <w:tc>
          <w:tcPr/>
          <w:p>
            <w:pPr>
              <w:pStyle w:val="Compact"/>
              <w:jc w:val="left"/>
            </w:pPr>
            <w:r>
              <w:t xml:space="preserve">47,600</w:t>
            </w:r>
          </w:p>
        </w:tc>
        <w:tc>
          <w:tcPr/>
          <w:p>
            <w:pPr>
              <w:pStyle w:val="Compact"/>
            </w:pPr>
          </w:p>
        </w:tc>
      </w:tr>
      <w:tr>
        <w:tc>
          <w:tcPr>
            <w:gridSpan w:val="3"/>
          </w:tcPr>
          <w:p>
            <w:pPr>
              <w:pStyle w:val="Compact"/>
              <w:jc w:val="left"/>
            </w:pPr>
            <w:r>
              <w:t xml:space="preserve">GRAND TOTAL (EGP)</w:t>
            </w:r>
          </w:p>
        </w:tc>
        <w:tc>
          <w:tcPr/>
          <w:p>
            <w:pPr>
              <w:pStyle w:val="Compact"/>
              <w:jc w:val="left"/>
            </w:pPr>
            <w:r>
              <w:t xml:space="preserve">387,600</w:t>
            </w:r>
          </w:p>
        </w:tc>
        <w:tc>
          <w:tcPr/>
          <w:p>
            <w:pPr>
              <w:pStyle w:val="Compact"/>
            </w:pPr>
          </w:p>
        </w:tc>
      </w:tr>
    </w:tbl>
    <w:p>
      <w:pPr>
        <w:pStyle w:val="BodyText"/>
      </w:pPr>
      <w:r>
        <w:t xml:space="preserve">2. Terms and Conditions</w:t>
      </w:r>
    </w:p>
    <w:p>
      <w:pPr>
        <w:numPr>
          <w:ilvl w:val="0"/>
          <w:numId w:val="1001"/>
        </w:numPr>
        <w:pStyle w:val="Compact"/>
      </w:pPr>
      <w:r>
        <w:rPr>
          <w:bCs/>
          <w:b/>
        </w:rPr>
        <w:t xml:space="preserve">Engagement of the Lawyer:</w:t>
      </w:r>
      <w:r>
        <w:t xml:space="preserve"> </w:t>
      </w:r>
      <w:r>
        <w:t xml:space="preserve">The Lawyer named herein is engaged exclusively for the services described in this Purchase Order. The Lawyer shall not delegate any portion of the work to a third party without prior written consent from the Purchasing Entity. The Lawyer confirms full registration and good standing with the Alexandria Bar Association and the Egyptian Bar Union as of the date of this Purchase Order.</w:t>
      </w:r>
    </w:p>
    <w:p>
      <w:pPr>
        <w:numPr>
          <w:ilvl w:val="0"/>
          <w:numId w:val="1001"/>
        </w:numPr>
        <w:pStyle w:val="Compact"/>
      </w:pPr>
      <w:r>
        <w:rPr>
          <w:bCs/>
          <w:b/>
        </w:rPr>
        <w:t xml:space="preserve">Confidentiality:</w:t>
      </w:r>
      <w:r>
        <w:t xml:space="preserve"> </w:t>
      </w:r>
      <w:r>
        <w:t xml:space="preserve">The Lawyer shall maintain strict confidentiality over all documents, trade secrets, and business information of the Purchasing Entity in accordance with the Egyptian Code of Professional Conduct for Lawyers and applicable data protection regulations. This obligation survives the termination of this Purchase Order for a period of five (5) years.</w:t>
      </w:r>
    </w:p>
    <w:p>
      <w:pPr>
        <w:numPr>
          <w:ilvl w:val="0"/>
          <w:numId w:val="1001"/>
        </w:numPr>
        <w:pStyle w:val="Compact"/>
      </w:pPr>
      <w:r>
        <w:rPr>
          <w:bCs/>
          <w:b/>
        </w:rPr>
        <w:t xml:space="preserve">Payment Schedule:</w:t>
      </w:r>
      <w:r>
        <w:t xml:space="preserve"> </w:t>
      </w:r>
      <w:r>
        <w:t xml:space="preserve">A retainer payment of fifty percent (50%) of the total contracted fee, amounting to EGP 193,800, shall be remitted via bank transfer to the Lawyer's designated account within ten (10) business days of the execution of this Purchase Order. The remaining fifty percent (50%) shall be due within fifteen (15) business days following the delivery and acceptance of the final deliverable for the last service item.</w:t>
      </w:r>
    </w:p>
    <w:p>
      <w:pPr>
        <w:numPr>
          <w:ilvl w:val="0"/>
          <w:numId w:val="1001"/>
        </w:numPr>
        <w:pStyle w:val="Compact"/>
      </w:pPr>
      <w:r>
        <w:rPr>
          <w:bCs/>
          <w:b/>
        </w:rPr>
        <w:t xml:space="preserve">Expenses and Court Costs:</w:t>
      </w:r>
      <w:r>
        <w:t xml:space="preserve"> </w:t>
      </w:r>
      <w:r>
        <w:t xml:space="preserve">All court filing fees, stamp duties, notary fees, and third-party expert witness costs incurred in Alexandria, Egypt, shall be borne by the Purchasing Entity and are not included in the Lawyer's professional fees stated above. The Lawyer shall submit itemized receipts for all such out-of-pocket expenses.</w:t>
      </w:r>
    </w:p>
    <w:p>
      <w:pPr>
        <w:numPr>
          <w:ilvl w:val="0"/>
          <w:numId w:val="1001"/>
        </w:numPr>
        <w:pStyle w:val="Compact"/>
      </w:pPr>
      <w:r>
        <w:rPr>
          <w:bCs/>
          <w:b/>
        </w:rPr>
        <w:t xml:space="preserve">Performance and Reporting:</w:t>
      </w:r>
      <w:r>
        <w:t xml:space="preserve"> </w:t>
      </w:r>
      <w:r>
        <w:t xml:space="preserve">The Lawyer shall provide a written progress report to the Procurement Director of the Purchasing Entity on a bi-weekly basis. Any material development in the litigation matter (Item 2) shall be communicated within twenty-four (24) hours of occurrence.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Lawyer shall be compensated for all services rendered up to the termination date, and all work product shall be delivered to the Purchasing Entity.</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Arab Republic of Egypt. Any dispute arising herefrom shall be submitted to the competent courts of Alexandria, Egypt, or, at the mutual election of the parties, to arbitration administered by the Alexandria Chamber of Commerce and Industry in accordance with its rules.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shutdowns, natural disasters affecting the Alexandria region, or judicial system closures declared by the Egyptian Ministry of Justice.</w:t>
      </w:r>
    </w:p>
    <w:p>
      <w:pPr>
        <w:numPr>
          <w:ilvl w:val="0"/>
          <w:numId w:val="1001"/>
        </w:numPr>
        <w:pStyle w:val="Compact"/>
      </w:pPr>
      <w:r>
        <w:rPr>
          <w:bCs/>
          <w:b/>
        </w:rPr>
        <w:t xml:space="preserve">Compliance:</w:t>
      </w:r>
      <w:r>
        <w:t xml:space="preserve"> </w:t>
      </w:r>
      <w:r>
        <w:t xml:space="preserve">The Lawyer warrants that all services rendered under this Purchase Order shall comply with all applicable Egyptian laws, regulations, and the ethical standards of the Alexandria Bar Association. The Lawyer shall not engage in any conflict of interest that would impair the faithful representation of the Purchasing Entity.</w:t>
      </w:r>
    </w:p>
    <w:p>
      <w:pPr>
        <w:pStyle w:val="FirstParagraph"/>
      </w:pPr>
      <w:r>
        <w:t xml:space="preserve">3. Acceptance and Authorization</w:t>
      </w:r>
    </w:p>
    <w:p>
      <w:pPr>
        <w:pStyle w:val="BodyText"/>
      </w:pPr>
      <w:r>
        <w:t xml:space="preserve">By signing below, both parties acknowledge that this Purchase Order constitutes a binding agreement for the procurement of legal services in Alexandria, Egypt. The Lawyer accepts the scope of work, fees, and terms set forth herein and commits to performing the services with the diligence and professional competence expected of a licensed Lawyer in the jurisdiction of Alexandria.</w:t>
      </w:r>
    </w:p>
    <w:p>
      <w:pPr>
        <w:pStyle w:val="BodyText"/>
      </w:pPr>
      <w:r>
        <w:rPr>
          <w:bCs/>
          <w:b/>
        </w:rPr>
        <w:t xml:space="preserve">For the Purchasing Entity</w:t>
      </w:r>
    </w:p>
    <w:p>
      <w:pPr>
        <w:pStyle w:val="BodyText"/>
      </w:pPr>
      <w:r>
        <w:t xml:space="preserve">Mediterranean Commercial Holdings S.A.E.</w:t>
      </w:r>
    </w:p>
    <w:p>
      <w:pPr>
        <w:pStyle w:val="BodyText"/>
      </w:pPr>
      <w:r>
        <w:t xml:space="preserve">Mr. Tarek El-Sayed</w:t>
      </w:r>
    </w:p>
    <w:p>
      <w:pPr>
        <w:pStyle w:val="BodyText"/>
      </w:pPr>
      <w:r>
        <w:t xml:space="preserve">Procurement Director</w:t>
      </w:r>
    </w:p>
    <w:p>
      <w:pPr>
        <w:pStyle w:val="BodyText"/>
      </w:pPr>
      <w:r>
        <w:t xml:space="preserve">Date: _______________</w:t>
      </w:r>
    </w:p>
    <w:p>
      <w:pPr>
        <w:pStyle w:val="BodyText"/>
      </w:pPr>
      <w:r>
        <w:rPr>
          <w:bCs/>
          <w:b/>
        </w:rPr>
        <w:t xml:space="preserve">For the Service Provider (Lawyer)</w:t>
      </w:r>
    </w:p>
    <w:p>
      <w:pPr>
        <w:pStyle w:val="BodyText"/>
      </w:pPr>
      <w:r>
        <w:t xml:space="preserve">El-Nahda &amp; Partners Legal Counsel</w:t>
      </w:r>
    </w:p>
    <w:p>
      <w:pPr>
        <w:pStyle w:val="BodyText"/>
      </w:pPr>
      <w:r>
        <w:t xml:space="preserve">Adv. Dr. Mona Fathy Abdel-Rahman</w:t>
      </w:r>
    </w:p>
    <w:p>
      <w:pPr>
        <w:pStyle w:val="BodyText"/>
      </w:pPr>
      <w:r>
        <w:t xml:space="preserve">Lead Lawyer &amp; Managing Partner</w:t>
      </w:r>
    </w:p>
    <w:p>
      <w:pPr>
        <w:pStyle w:val="BodyText"/>
      </w:pPr>
      <w:r>
        <w:t xml:space="preserve">Date: _______________</w:t>
      </w:r>
    </w:p>
    <w:p>
      <w:pPr>
        <w:pStyle w:val="BodyText"/>
      </w:pPr>
      <w:r>
        <w:t xml:space="preserve">[Official Company Stamp — Mediterranean Commercial Holdings S.A.E., Alexandria, Egypt]</w:t>
      </w:r>
      <w:r>
        <w:br/>
      </w:r>
      <w:r>
        <w:t xml:space="preserve">[Lawyer's Seal — Alexandria Bar Association Reg. No. 4471]</w:t>
      </w:r>
    </w:p>
    <w:p>
      <w:pPr>
        <w:pStyle w:val="BodyText"/>
      </w:pPr>
      <w:r>
        <w:t xml:space="preserve">This Purchase Order (PO No. ALE-2025-04782) was prepared and issued in Alexandria, Egypt, on 14 June 2025. This document is valid for a period of ninety (90) days from the date of issue unless executed by both parties. All communications regarding this Purchase Order shall be directed to the addresses listed above in Alexandria, Egypt. This document is printed in duplicate, one copy for each party.</w:t>
      </w:r>
    </w:p>
    <w:p>
      <w:pPr>
        <w:pStyle w:val="BodyText"/>
      </w:pPr>
      <w:r>
        <w:t xml:space="preserve">© 2025 Mediterranean Commercial Holdings S.A.E. — All Rights Reserved. Document Ref: MCH-LGL-2025-019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Alexandria, Egypt</dc:title>
  <dc:creator/>
  <dc:language>en</dc:language>
  <cp:keywords/>
  <dcterms:created xsi:type="dcterms:W3CDTF">2026-10-10T05:51:40Z</dcterms:created>
  <dcterms:modified xsi:type="dcterms:W3CDTF">2026-10-10T05:51:40Z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