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Legal</w:t>
      </w:r>
      <w:r>
        <w:t xml:space="preserve"> </w:t>
      </w:r>
      <w:r>
        <w:t xml:space="preserve">Services</w:t>
      </w:r>
      <w:r>
        <w:t xml:space="preserve"> </w:t>
      </w:r>
      <w:r>
        <w:t xml:space="preserve">-</w:t>
      </w:r>
      <w:r>
        <w:t xml:space="preserve"> </w:t>
      </w:r>
      <w:r>
        <w:t xml:space="preserve">Cairo,</w:t>
      </w:r>
      <w:r>
        <w:t xml:space="preserve"> </w:t>
      </w:r>
      <w:r>
        <w:t xml:space="preserve">Egypt</w:t>
      </w:r>
    </w:p>
    <w:bookmarkStart w:id="21" w:name="purchase-order"/>
    <w:p>
      <w:pPr>
        <w:pStyle w:val="Heading1"/>
      </w:pPr>
      <w:r>
        <w:t xml:space="preserve">PURCHASE ORDER</w:t>
      </w:r>
    </w:p>
    <w:bookmarkStart w:id="20" w:name="Xe0f0fc16ee7e68895692e005ab0f1e7709d3496"/>
    <w:p>
      <w:pPr>
        <w:pStyle w:val="Heading2"/>
      </w:pPr>
      <w:r>
        <w:t xml:space="preserve">Legal Professional Services – Attorney Engagement</w:t>
      </w:r>
    </w:p>
    <w:p>
      <w:pPr>
        <w:pStyle w:val="FirstParagraph"/>
      </w:pPr>
      <w:r>
        <w:t xml:space="preserve">Issued in Cairo, Egypt | Governed by the Laws of the Arab Republic of Egypt</w:t>
      </w:r>
    </w:p>
    <w:p>
      <w:pPr>
        <w:pStyle w:val="BodyText"/>
      </w:pPr>
      <w:r>
        <w:t xml:space="preserve">Reference: Egyptian Commercial Code &amp; Bar Association Regulations, Cairo</w:t>
      </w:r>
    </w:p>
    <w:bookmarkEnd w:id="20"/>
    <w:bookmarkEnd w:id="21"/>
    <w:p>
      <w:pPr>
        <w:pStyle w:val="BodyText"/>
      </w:pPr>
      <w:r>
        <w:rPr>
          <w:bCs/>
          <w:b/>
        </w:rPr>
        <w:t xml:space="preserve">Purchase Order No.:</w:t>
      </w:r>
      <w:r>
        <w:t xml:space="preserve"> </w:t>
      </w:r>
      <w:r>
        <w:t xml:space="preserve">PO-EGY-CAI-2025-04782</w:t>
      </w:r>
      <w:r>
        <w:br/>
      </w:r>
      <w:r>
        <w:rPr>
          <w:bCs/>
          <w:b/>
        </w:rPr>
        <w:t xml:space="preserve">Date of Issue:</w:t>
      </w:r>
      <w:r>
        <w:t xml:space="preserve"> </w:t>
      </w:r>
      <w:r>
        <w:t xml:space="preserve">14 June 2025</w:t>
      </w:r>
      <w:r>
        <w:br/>
      </w:r>
      <w:r>
        <w:rPr>
          <w:bCs/>
          <w:b/>
        </w:rPr>
        <w:t xml:space="preserve">Place of Issue:</w:t>
      </w:r>
      <w:r>
        <w:t xml:space="preserve"> </w:t>
      </w:r>
      <w:r>
        <w:t xml:space="preserve">Cairo, Egypt</w:t>
      </w:r>
    </w:p>
    <w:p>
      <w:pPr>
        <w:pStyle w:val="BodyText"/>
      </w:pPr>
      <w:r>
        <w:rPr>
          <w:bCs/>
          <w:b/>
        </w:rPr>
        <w:t xml:space="preserve">Valid Until:</w:t>
      </w:r>
      <w:r>
        <w:t xml:space="preserve"> </w:t>
      </w:r>
      <w:r>
        <w:t xml:space="preserve">14 September 2025</w:t>
      </w:r>
      <w:r>
        <w:br/>
      </w:r>
      <w:r>
        <w:rPr>
          <w:bCs/>
          <w:b/>
        </w:rPr>
        <w:t xml:space="preserve">Currency:</w:t>
      </w:r>
      <w:r>
        <w:t xml:space="preserve"> </w:t>
      </w:r>
      <w:r>
        <w:t xml:space="preserve">Egyptian Pound (EGP)</w:t>
      </w:r>
      <w:r>
        <w:br/>
      </w:r>
      <w:r>
        <w:rPr>
          <w:bCs/>
          <w:b/>
        </w:rPr>
        <w:t xml:space="preserve">Payment Terms:</w:t>
      </w:r>
      <w:r>
        <w:t xml:space="preserve"> </w:t>
      </w:r>
      <w:r>
        <w:t xml:space="preserve">Net 30 Days</w:t>
      </w:r>
    </w:p>
    <w:bookmarkStart w:id="22" w:name="purchasing-entity-buyer"/>
    <w:p>
      <w:pPr>
        <w:pStyle w:val="Heading3"/>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Nile Delta Industrial Holdings S.A.E.</w:t>
            </w:r>
          </w:p>
        </w:tc>
        <w:tc>
          <w:tcPr/>
          <w:p>
            <w:pPr>
              <w:pStyle w:val="Compact"/>
              <w:jc w:val="left"/>
            </w:pPr>
            <w:r>
              <w:rPr>
                <w:bCs/>
                <w:b/>
              </w:rPr>
              <w:t xml:space="preserve">Commercial Registration No.:</w:t>
            </w:r>
            <w:r>
              <w:t xml:space="preserve"> </w:t>
            </w:r>
            <w:r>
              <w:t xml:space="preserve">184729</w:t>
            </w:r>
          </w:p>
        </w:tc>
      </w:tr>
      <w:tr>
        <w:tc>
          <w:tcPr/>
          <w:p>
            <w:pPr>
              <w:pStyle w:val="Compact"/>
              <w:jc w:val="left"/>
            </w:pPr>
            <w:r>
              <w:rPr>
                <w:bCs/>
                <w:b/>
              </w:rPr>
              <w:t xml:space="preserve">Address:</w:t>
            </w:r>
            <w:r>
              <w:t xml:space="preserve"> </w:t>
            </w:r>
            <w:r>
              <w:t xml:space="preserve">42 El Tahrir Square, Downtown, Cairo 11511, Egypt</w:t>
            </w:r>
          </w:p>
        </w:tc>
        <w:tc>
          <w:tcPr/>
          <w:p>
            <w:pPr>
              <w:pStyle w:val="Compact"/>
              <w:jc w:val="left"/>
            </w:pPr>
            <w:r>
              <w:rPr>
                <w:bCs/>
                <w:b/>
              </w:rPr>
              <w:t xml:space="preserve">Tax ID (VAT):</w:t>
            </w:r>
            <w:r>
              <w:t xml:space="preserve"> </w:t>
            </w:r>
            <w:r>
              <w:t xml:space="preserve">552-847-193-002</w:t>
            </w:r>
          </w:p>
        </w:tc>
      </w:tr>
      <w:tr>
        <w:tc>
          <w:tcPr/>
          <w:p>
            <w:pPr>
              <w:pStyle w:val="Compact"/>
              <w:jc w:val="left"/>
            </w:pPr>
            <w:r>
              <w:rPr>
                <w:bCs/>
                <w:b/>
              </w:rPr>
              <w:t xml:space="preserve">Contact Person:</w:t>
            </w:r>
            <w:r>
              <w:t xml:space="preserve"> </w:t>
            </w:r>
            <w:r>
              <w:t xml:space="preserve">Mr. Ahmed Hassan, General Counsel</w:t>
            </w:r>
          </w:p>
        </w:tc>
        <w:tc>
          <w:tcPr/>
          <w:p>
            <w:pPr>
              <w:pStyle w:val="Compact"/>
              <w:jc w:val="left"/>
            </w:pPr>
            <w:r>
              <w:rPr>
                <w:bCs/>
                <w:b/>
              </w:rPr>
              <w:t xml:space="preserve">Telephone:</w:t>
            </w:r>
            <w:r>
              <w:t xml:space="preserve"> </w:t>
            </w:r>
            <w:r>
              <w:t xml:space="preserve">+20 2 2574 8831</w:t>
            </w:r>
          </w:p>
        </w:tc>
      </w:tr>
      <w:tr>
        <w:tc>
          <w:tcPr/>
          <w:p>
            <w:pPr>
              <w:pStyle w:val="Compact"/>
              <w:jc w:val="left"/>
            </w:pPr>
            <w:r>
              <w:rPr>
                <w:bCs/>
                <w:b/>
              </w:rPr>
              <w:t xml:space="preserve">Email:</w:t>
            </w:r>
            <w:r>
              <w:t xml:space="preserve"> </w:t>
            </w:r>
            <w:r>
              <w:t xml:space="preserve">legal@niledelta-holdings.com.eg</w:t>
            </w:r>
          </w:p>
        </w:tc>
        <w:tc>
          <w:tcPr/>
          <w:p>
            <w:pPr>
              <w:pStyle w:val="Compact"/>
              <w:jc w:val="left"/>
            </w:pPr>
            <w:r>
              <w:rPr>
                <w:bCs/>
                <w:b/>
              </w:rPr>
              <w:t xml:space="preserve">Governance:</w:t>
            </w:r>
            <w:r>
              <w:t xml:space="preserve"> </w:t>
            </w:r>
            <w:r>
              <w:t xml:space="preserve">Egyptian Companies Law No. 159 of 1981</w:t>
            </w:r>
          </w:p>
        </w:tc>
      </w:tr>
    </w:tbl>
    <w:bookmarkEnd w:id="22"/>
    <w:bookmarkStart w:id="23" w:name="service-provider-vendor-lawyer"/>
    <w:p>
      <w:pPr>
        <w:pStyle w:val="Heading3"/>
      </w:pPr>
      <w:r>
        <w:t xml:space="preserve">2. Service Provider (Vendor / Lawyer)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Lawyer / Firm Name:</w:t>
            </w:r>
            <w:r>
              <w:t xml:space="preserve"> </w:t>
            </w:r>
            <w:r>
              <w:t xml:space="preserve">Dr. Mona El-Sayed, Advocate &amp; Legal Consultant</w:t>
            </w:r>
          </w:p>
        </w:tc>
        <w:tc>
          <w:tcPr/>
          <w:p>
            <w:pPr>
              <w:pStyle w:val="Compact"/>
              <w:jc w:val="left"/>
            </w:pPr>
            <w:r>
              <w:rPr>
                <w:bCs/>
                <w:b/>
              </w:rPr>
              <w:t xml:space="preserve">Cairo Bar Association License No.:</w:t>
            </w:r>
            <w:r>
              <w:t xml:space="preserve"> </w:t>
            </w:r>
            <w:r>
              <w:t xml:space="preserve">4471/2003</w:t>
            </w:r>
          </w:p>
        </w:tc>
      </w:tr>
      <w:tr>
        <w:tc>
          <w:tcPr/>
          <w:p>
            <w:pPr>
              <w:pStyle w:val="Compact"/>
              <w:jc w:val="left"/>
            </w:pPr>
            <w:r>
              <w:rPr>
                <w:bCs/>
                <w:b/>
              </w:rPr>
              <w:t xml:space="preserve">Office Address:</w:t>
            </w:r>
            <w:r>
              <w:t xml:space="preserve"> </w:t>
            </w:r>
            <w:r>
              <w:t xml:space="preserve">18 Gamaleya Street, Dokki, Giza District, Cairo 12611, Egypt</w:t>
            </w:r>
          </w:p>
        </w:tc>
        <w:tc>
          <w:tcPr/>
          <w:p>
            <w:pPr>
              <w:pStyle w:val="Compact"/>
              <w:jc w:val="left"/>
            </w:pPr>
            <w:r>
              <w:rPr>
                <w:bCs/>
                <w:b/>
              </w:rPr>
              <w:t xml:space="preserve">Specialization:</w:t>
            </w:r>
            <w:r>
              <w:t xml:space="preserve"> </w:t>
            </w:r>
            <w:r>
              <w:t xml:space="preserve">Corporate Law, Commercial Disputes, Egyptian Arbitration</w:t>
            </w:r>
          </w:p>
        </w:tc>
      </w:tr>
      <w:tr>
        <w:tc>
          <w:tcPr/>
          <w:p>
            <w:pPr>
              <w:pStyle w:val="Compact"/>
              <w:jc w:val="left"/>
            </w:pPr>
            <w:r>
              <w:rPr>
                <w:bCs/>
                <w:b/>
              </w:rPr>
              <w:t xml:space="preserve">Telephone:</w:t>
            </w:r>
            <w:r>
              <w:t xml:space="preserve"> </w:t>
            </w:r>
            <w:r>
              <w:t xml:space="preserve">+20 2 3336 7742</w:t>
            </w:r>
          </w:p>
        </w:tc>
        <w:tc>
          <w:tcPr/>
          <w:p>
            <w:pPr>
              <w:pStyle w:val="Compact"/>
              <w:jc w:val="left"/>
            </w:pPr>
            <w:r>
              <w:rPr>
                <w:bCs/>
                <w:b/>
              </w:rPr>
              <w:t xml:space="preserve">Email:</w:t>
            </w:r>
            <w:r>
              <w:t xml:space="preserve"> </w:t>
            </w:r>
            <w:r>
              <w:t xml:space="preserve">dr.mona.elsayed@legalcairo.com.eg</w:t>
            </w:r>
          </w:p>
        </w:tc>
      </w:tr>
      <w:tr>
        <w:tc>
          <w:tcPr/>
          <w:p>
            <w:pPr>
              <w:pStyle w:val="Compact"/>
              <w:jc w:val="left"/>
            </w:pPr>
            <w:r>
              <w:rPr>
                <w:bCs/>
                <w:b/>
              </w:rPr>
              <w:t xml:space="preserve">Professional Registration:</w:t>
            </w:r>
            <w:r>
              <w:t xml:space="preserve"> </w:t>
            </w:r>
            <w:r>
              <w:t xml:space="preserve">Egyptian Bar Association, Cairo Branch</w:t>
            </w:r>
          </w:p>
        </w:tc>
        <w:tc>
          <w:tcPr/>
          <w:p>
            <w:pPr>
              <w:pStyle w:val="Compact"/>
              <w:jc w:val="left"/>
            </w:pPr>
            <w:r>
              <w:rPr>
                <w:bCs/>
                <w:b/>
              </w:rPr>
              <w:t xml:space="preserve">Years of Practice:</w:t>
            </w:r>
            <w:r>
              <w:t xml:space="preserve"> </w:t>
            </w:r>
            <w:r>
              <w:t xml:space="preserve">22 years in Cairo legal jurisdiction</w:t>
            </w:r>
          </w:p>
        </w:tc>
      </w:tr>
    </w:tbl>
    <w:bookmarkEnd w:id="23"/>
    <w:bookmarkStart w:id="24" w:name="description-of-legal-services-ordered"/>
    <w:p>
      <w:pPr>
        <w:pStyle w:val="Heading3"/>
      </w:pPr>
      <w:r>
        <w:t xml:space="preserve">3. Description of Legal Services Ordered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Scope / Deliverables</w:t>
            </w:r>
          </w:p>
        </w:tc>
        <w:tc>
          <w:tcPr/>
          <w:p>
            <w:pPr>
              <w:pStyle w:val="Compact"/>
              <w:jc w:val="left"/>
            </w:pPr>
            <w:r>
              <w:t xml:space="preserve">Unit</w:t>
            </w:r>
          </w:p>
        </w:tc>
        <w:tc>
          <w:tcPr/>
          <w:p>
            <w:pPr>
              <w:pStyle w:val="Compact"/>
              <w:jc w:val="left"/>
            </w:pPr>
            <w:r>
              <w:t xml:space="preserve">Rate (EGP)</w:t>
            </w:r>
          </w:p>
        </w:tc>
        <w:tc>
          <w:tcPr/>
          <w:p>
            <w:pPr>
              <w:pStyle w:val="Compact"/>
              <w:jc w:val="left"/>
            </w:pPr>
            <w:r>
              <w:t xml:space="preserve">Amount (EGP)</w:t>
            </w:r>
          </w:p>
        </w:tc>
      </w:tr>
      <w:tr>
        <w:tc>
          <w:tcPr/>
          <w:p>
            <w:pPr>
              <w:pStyle w:val="Compact"/>
              <w:jc w:val="left"/>
            </w:pPr>
            <w:r>
              <w:t xml:space="preserve">01</w:t>
            </w:r>
          </w:p>
        </w:tc>
        <w:tc>
          <w:tcPr/>
          <w:p>
            <w:pPr>
              <w:pStyle w:val="Compact"/>
              <w:jc w:val="left"/>
            </w:pPr>
            <w:r>
              <w:t xml:space="preserve">Comprehensive legal representation before the Cairo Commercial Court regarding contract dispute case No. 3312/2025</w:t>
            </w:r>
          </w:p>
        </w:tc>
        <w:tc>
          <w:tcPr/>
          <w:p>
            <w:pPr>
              <w:pStyle w:val="Compact"/>
              <w:jc w:val="left"/>
            </w:pPr>
            <w:r>
              <w:t xml:space="preserve">Full litigation support including drafting of pleadings, court appearances, and legal memoranda in Arabic and English</w:t>
            </w:r>
          </w:p>
        </w:tc>
        <w:tc>
          <w:tcPr/>
          <w:p>
            <w:pPr>
              <w:pStyle w:val="Compact"/>
              <w:jc w:val="left"/>
            </w:pPr>
            <w:r>
              <w:t xml:space="preserve">Case</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02</w:t>
            </w:r>
          </w:p>
        </w:tc>
        <w:tc>
          <w:tcPr/>
          <w:p>
            <w:pPr>
              <w:pStyle w:val="Compact"/>
              <w:jc w:val="left"/>
            </w:pPr>
            <w:r>
              <w:t xml:space="preserve">Corporate governance advisory for restructuring of subsidiary operating in the New Administrative Capital, Cairo</w:t>
            </w:r>
          </w:p>
        </w:tc>
        <w:tc>
          <w:tcPr/>
          <w:p>
            <w:pPr>
              <w:pStyle w:val="Compact"/>
              <w:jc w:val="left"/>
            </w:pPr>
            <w:r>
              <w:t xml:space="preserve">Monthly advisory sessions, board resolutions drafting, compliance review under Egyptian Companies Law</w:t>
            </w:r>
          </w:p>
        </w:tc>
        <w:tc>
          <w:tcPr/>
          <w:p>
            <w:pPr>
              <w:pStyle w:val="Compact"/>
              <w:jc w:val="left"/>
            </w:pPr>
            <w:r>
              <w:t xml:space="preserve">Month (6 months)</w:t>
            </w:r>
          </w:p>
        </w:tc>
        <w:tc>
          <w:tcPr/>
          <w:p>
            <w:pPr>
              <w:pStyle w:val="Compact"/>
              <w:jc w:val="left"/>
            </w:pPr>
            <w:r>
              <w:t xml:space="preserve">22,000.00</w:t>
            </w:r>
          </w:p>
        </w:tc>
        <w:tc>
          <w:tcPr/>
          <w:p>
            <w:pPr>
              <w:pStyle w:val="Compact"/>
              <w:jc w:val="left"/>
            </w:pPr>
            <w:r>
              <w:t xml:space="preserve">132,000.00</w:t>
            </w:r>
          </w:p>
        </w:tc>
      </w:tr>
      <w:tr>
        <w:tc>
          <w:tcPr/>
          <w:p>
            <w:pPr>
              <w:pStyle w:val="Compact"/>
              <w:jc w:val="left"/>
            </w:pPr>
            <w:r>
              <w:t xml:space="preserve">03</w:t>
            </w:r>
          </w:p>
        </w:tc>
        <w:tc>
          <w:tcPr/>
          <w:p>
            <w:pPr>
              <w:pStyle w:val="Compact"/>
              <w:jc w:val="left"/>
            </w:pPr>
            <w:r>
              <w:t xml:space="preserve">Drafting and negotiation of a joint-venture agreement with a foreign partner registered under the Egyptian Investment Law No. 72 of 2017</w:t>
            </w:r>
          </w:p>
        </w:tc>
        <w:tc>
          <w:tcPr/>
          <w:p>
            <w:pPr>
              <w:pStyle w:val="Compact"/>
              <w:jc w:val="left"/>
            </w:pPr>
            <w:r>
              <w:t xml:space="preserve">Three rounds of negotiation, bilingual contract (Arabic/English), legal opinion memo</w:t>
            </w:r>
          </w:p>
        </w:tc>
        <w:tc>
          <w:tcPr/>
          <w:p>
            <w:pPr>
              <w:pStyle w:val="Compact"/>
              <w:jc w:val="left"/>
            </w:pPr>
            <w:r>
              <w:t xml:space="preserve">Project</w:t>
            </w:r>
          </w:p>
        </w:tc>
        <w:tc>
          <w:tcPr/>
          <w:p>
            <w:pPr>
              <w:pStyle w:val="Compact"/>
              <w:jc w:val="left"/>
            </w:pPr>
            <w:r>
              <w:t xml:space="preserve">65,000.00</w:t>
            </w:r>
          </w:p>
        </w:tc>
        <w:tc>
          <w:tcPr/>
          <w:p>
            <w:pPr>
              <w:pStyle w:val="Compact"/>
              <w:jc w:val="left"/>
            </w:pPr>
            <w:r>
              <w:t xml:space="preserve">65,000.00</w:t>
            </w:r>
          </w:p>
        </w:tc>
      </w:tr>
      <w:tr>
        <w:tc>
          <w:tcPr/>
          <w:p>
            <w:pPr>
              <w:pStyle w:val="Compact"/>
              <w:jc w:val="left"/>
            </w:pPr>
            <w:r>
              <w:t xml:space="preserve">04</w:t>
            </w:r>
          </w:p>
        </w:tc>
        <w:tc>
          <w:tcPr/>
          <w:p>
            <w:pPr>
              <w:pStyle w:val="Compact"/>
              <w:jc w:val="left"/>
            </w:pPr>
            <w:r>
              <w:t xml:space="preserve">Arbitration representation before the Cairo Regional Centre for International Commercial Arbitration (CRCICA)</w:t>
            </w:r>
          </w:p>
        </w:tc>
        <w:tc>
          <w:tcPr/>
          <w:p>
            <w:pPr>
              <w:pStyle w:val="Compact"/>
              <w:jc w:val="left"/>
            </w:pPr>
            <w:r>
              <w:t xml:space="preserve">Full arbitration proceedings, submission of evidence, legal briefs, and post-award enforcement in Cairo courts</w:t>
            </w:r>
          </w:p>
        </w:tc>
        <w:tc>
          <w:tcPr/>
          <w:p>
            <w:pPr>
              <w:pStyle w:val="Compact"/>
              <w:jc w:val="left"/>
            </w:pPr>
            <w:r>
              <w:t xml:space="preserve">Case</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05</w:t>
            </w:r>
          </w:p>
        </w:tc>
        <w:tc>
          <w:tcPr/>
          <w:p>
            <w:pPr>
              <w:pStyle w:val="Compact"/>
              <w:jc w:val="left"/>
            </w:pPr>
            <w:r>
              <w:t xml:space="preserve">Intellectual property registration and protection for trademarks filed with the Egyptian Trademark and Design Office, Cairo</w:t>
            </w:r>
          </w:p>
        </w:tc>
        <w:tc>
          <w:tcPr/>
          <w:p>
            <w:pPr>
              <w:pStyle w:val="Compact"/>
              <w:jc w:val="left"/>
            </w:pPr>
            <w:r>
              <w:t xml:space="preserve">Three trademark applications, opposition defense, annual renewal filings</w:t>
            </w:r>
          </w:p>
        </w:tc>
        <w:tc>
          <w:tcPr/>
          <w:p>
            <w:pPr>
              <w:pStyle w:val="Compact"/>
              <w:jc w:val="left"/>
            </w:pPr>
            <w:r>
              <w:t xml:space="preserve">Package</w:t>
            </w:r>
          </w:p>
        </w:tc>
        <w:tc>
          <w:tcPr/>
          <w:p>
            <w:pPr>
              <w:pStyle w:val="Compact"/>
              <w:jc w:val="left"/>
            </w:pPr>
            <w:r>
              <w:t xml:space="preserve">18,500.00</w:t>
            </w:r>
          </w:p>
        </w:tc>
        <w:tc>
          <w:tcPr/>
          <w:p>
            <w:pPr>
              <w:pStyle w:val="Compact"/>
              <w:jc w:val="left"/>
            </w:pPr>
            <w:r>
              <w:t xml:space="preserve">18,500.00</w:t>
            </w:r>
          </w:p>
        </w:tc>
      </w:tr>
      <w:tr>
        <w:tc>
          <w:tcPr>
            <w:gridSpan w:val="5"/>
          </w:tcPr>
          <w:p>
            <w:pPr>
              <w:pStyle w:val="Compact"/>
              <w:jc w:val="right"/>
            </w:pPr>
            <w:r>
              <w:t xml:space="preserve">Subtotal (EGP):</w:t>
            </w:r>
          </w:p>
        </w:tc>
        <w:tc>
          <w:tcPr/>
          <w:p>
            <w:pPr>
              <w:pStyle w:val="Compact"/>
              <w:jc w:val="left"/>
            </w:pPr>
            <w:r>
              <w:t xml:space="preserve">420,500.00</w:t>
            </w:r>
          </w:p>
        </w:tc>
      </w:tr>
      <w:tr>
        <w:tc>
          <w:tcPr>
            <w:gridSpan w:val="5"/>
          </w:tcPr>
          <w:p>
            <w:pPr>
              <w:pStyle w:val="Compact"/>
              <w:jc w:val="right"/>
            </w:pPr>
            <w:r>
              <w:t xml:space="preserve">VAT @ 14% (Egyptian Tax Authority):</w:t>
            </w:r>
          </w:p>
        </w:tc>
        <w:tc>
          <w:tcPr/>
          <w:p>
            <w:pPr>
              <w:pStyle w:val="Compact"/>
              <w:jc w:val="left"/>
            </w:pPr>
            <w:r>
              <w:t xml:space="preserve">58,870.00</w:t>
            </w:r>
          </w:p>
        </w:tc>
      </w:tr>
      <w:tr>
        <w:tc>
          <w:tcPr>
            <w:gridSpan w:val="5"/>
          </w:tcPr>
          <w:p>
            <w:pPr>
              <w:pStyle w:val="Compact"/>
              <w:jc w:val="right"/>
            </w:pPr>
            <w:r>
              <w:rPr>
                <w:bCs/>
                <w:b/>
              </w:rPr>
              <w:t xml:space="preserve">TOTAL AMOUNT DUE (EGP):</w:t>
            </w:r>
          </w:p>
        </w:tc>
        <w:tc>
          <w:tcPr/>
          <w:p>
            <w:pPr>
              <w:pStyle w:val="Compact"/>
              <w:jc w:val="left"/>
            </w:pPr>
            <w:r>
              <w:rPr>
                <w:bCs/>
                <w:b/>
              </w:rPr>
              <w:t xml:space="preserve">479,370.00</w:t>
            </w:r>
          </w:p>
        </w:tc>
      </w:tr>
    </w:tbl>
    <w:bookmarkEnd w:id="24"/>
    <w:bookmarkStart w:id="25" w:name="terms-and-conditions"/>
    <w:p>
      <w:pPr>
        <w:pStyle w:val="Heading3"/>
      </w:pPr>
      <w:r>
        <w:t xml:space="preserve">4. Terms and Conditions</w:t>
      </w:r>
    </w:p>
    <w:p>
      <w:pPr>
        <w:numPr>
          <w:ilvl w:val="0"/>
          <w:numId w:val="1001"/>
        </w:numPr>
        <w:pStyle w:val="Compact"/>
      </w:pPr>
      <w:r>
        <w:rPr>
          <w:bCs/>
          <w:b/>
        </w:rPr>
        <w:t xml:space="preserve">Governing Law:</w:t>
      </w:r>
      <w:r>
        <w:t xml:space="preserve"> </w:t>
      </w:r>
      <w:r>
        <w:t xml:space="preserve">This Purchase Order and all legal services rendered under it shall be governed by and construed in accordance with the laws of the Arab Republic of Egypt, including the Egyptian Civil Code, the Egyptian Commercial Code, and the regulations of the Egyptian Bar Association applicable to the Cairo jurisdiction.</w:t>
      </w:r>
    </w:p>
    <w:p>
      <w:pPr>
        <w:numPr>
          <w:ilvl w:val="0"/>
          <w:numId w:val="1001"/>
        </w:numPr>
        <w:pStyle w:val="Compact"/>
      </w:pPr>
      <w:r>
        <w:rPr>
          <w:bCs/>
          <w:b/>
        </w:rPr>
        <w:t xml:space="preserve">Professional Conduct:</w:t>
      </w:r>
      <w:r>
        <w:t xml:space="preserve"> </w:t>
      </w:r>
      <w:r>
        <w:t xml:space="preserve">The Lawyer shall adhere to the Code of Professional Ethics issued by the Egyptian Bar Association, Cairo Branch. Any breach of professional confidentiality or ethical standards shall constitute grounds for immediate termination of this Purchase Order without penalty to the Buyer.</w:t>
      </w:r>
    </w:p>
    <w:p>
      <w:pPr>
        <w:numPr>
          <w:ilvl w:val="0"/>
          <w:numId w:val="1001"/>
        </w:numPr>
        <w:pStyle w:val="Compact"/>
      </w:pPr>
      <w:r>
        <w:rPr>
          <w:bCs/>
          <w:b/>
        </w:rPr>
        <w:t xml:space="preserve">Payment Schedule:</w:t>
      </w:r>
      <w:r>
        <w:t xml:space="preserve"> </w:t>
      </w:r>
      <w:r>
        <w:t xml:space="preserve">Payment shall be made in three installments: 40% upon execution of this Purchase Order, 40% upon completion of the primary litigation and arbitration milestones, and 20% upon final delivery of all legal documents and opinions. All payments shall be made via bank transfer to the Lawyer's designated account at a licensed Egyptian bank in Cairo.</w:t>
      </w:r>
    </w:p>
    <w:p>
      <w:pPr>
        <w:numPr>
          <w:ilvl w:val="0"/>
          <w:numId w:val="1001"/>
        </w:numPr>
        <w:pStyle w:val="Compact"/>
      </w:pPr>
      <w:r>
        <w:rPr>
          <w:bCs/>
          <w:b/>
        </w:rPr>
        <w:t xml:space="preserve">Confidentiality:</w:t>
      </w:r>
      <w:r>
        <w:t xml:space="preserve"> </w:t>
      </w:r>
      <w:r>
        <w:t xml:space="preserve">The Lawyer shall maintain strict confidentiality over all documents, trade secrets, and business information of the Buyer in accordance with Article 10 of the Egyptian Bar Association Bylaws. This obligation shall survive the termination of this Purchase Order for a period of five (5) years.</w:t>
      </w:r>
    </w:p>
    <w:p>
      <w:pPr>
        <w:numPr>
          <w:ilvl w:val="0"/>
          <w:numId w:val="1001"/>
        </w:numPr>
        <w:pStyle w:val="Compact"/>
      </w:pPr>
      <w:r>
        <w:rPr>
          <w:bCs/>
          <w:b/>
        </w:rPr>
        <w:t xml:space="preserve">Dispute Resolution:</w:t>
      </w:r>
      <w:r>
        <w:t xml:space="preserve"> </w:t>
      </w:r>
      <w:r>
        <w:t xml:space="preserve">Any dispute arising from or in connection with this Purchase Order shall first be subject to amicable negotiation in Cairo. Failing resolution within thirty (30) days, the dispute shall be referred to the Cairo Regional Centre for International Commercial Arbitration (CRCICA) in accordance with its Arbitration Rules. The seat of arbitration shall be Cairo, Egypt, and the language of proceedings shall be Arabic.</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government-mandated closures of courts in Cairo, natural disasters, or acts of war, as defined under Egyptian law.</w:t>
      </w:r>
    </w:p>
    <w:p>
      <w:pPr>
        <w:numPr>
          <w:ilvl w:val="0"/>
          <w:numId w:val="1001"/>
        </w:numPr>
        <w:pStyle w:val="Compact"/>
      </w:pPr>
      <w:r>
        <w:rPr>
          <w:bCs/>
          <w:b/>
        </w:rPr>
        <w:t xml:space="preserve">Termination:</w:t>
      </w:r>
      <w:r>
        <w:t xml:space="preserve"> </w:t>
      </w:r>
      <w:r>
        <w:t xml:space="preserve">Either party may terminate this Purchase Order with thirty (30) days' written notice delivered to the other party's registered address in Cairo. Upon termination, the Buyer shall pay for all legal services rendered up to the date of termination.</w:t>
      </w:r>
    </w:p>
    <w:p>
      <w:pPr>
        <w:numPr>
          <w:ilvl w:val="0"/>
          <w:numId w:val="1001"/>
        </w:numPr>
        <w:pStyle w:val="Compact"/>
      </w:pPr>
      <w:r>
        <w:rPr>
          <w:bCs/>
          <w:b/>
        </w:rPr>
        <w:t xml:space="preserve">Compliance with Egyptian Regulations:</w:t>
      </w:r>
      <w:r>
        <w:t xml:space="preserve"> </w:t>
      </w:r>
      <w:r>
        <w:t xml:space="preserve">The Lawyer warrants that all services shall comply with the regulations of the Egyptian Capital Market Authority (where applicable), the Egyptian Competition Authority, and all relevant Cairo municipal and national legal requirements.</w:t>
      </w:r>
    </w:p>
    <w:p>
      <w:pPr>
        <w:numPr>
          <w:ilvl w:val="0"/>
          <w:numId w:val="1001"/>
        </w:numPr>
        <w:pStyle w:val="Compact"/>
      </w:pPr>
      <w:r>
        <w:rPr>
          <w:bCs/>
          <w:b/>
        </w:rPr>
        <w:t xml:space="preserve">Language of Documents:</w:t>
      </w:r>
      <w:r>
        <w:t xml:space="preserve"> </w:t>
      </w:r>
      <w:r>
        <w:t xml:space="preserve">All legal opinions, contracts, and court filings prepared under this Purchase Order shall be produced in Arabic as the primary language, with English translations provided where expressly requested by the Buyer.</w:t>
      </w:r>
    </w:p>
    <w:p>
      <w:pPr>
        <w:numPr>
          <w:ilvl w:val="0"/>
          <w:numId w:val="1001"/>
        </w:numPr>
        <w:pStyle w:val="Compact"/>
      </w:pPr>
      <w:r>
        <w:rPr>
          <w:bCs/>
          <w:b/>
        </w:rPr>
        <w:t xml:space="preserve">Anti-Corruption:</w:t>
      </w:r>
      <w:r>
        <w:t xml:space="preserve"> </w:t>
      </w:r>
      <w:r>
        <w:t xml:space="preserve">Both parties affirm compliance with Egyptian Anti-Corruption Law No. 81 of 2016. No kickbacks, bribes, or improper payments shall be made in connection with this Purchase Order.</w:t>
      </w:r>
    </w:p>
    <w:bookmarkEnd w:id="25"/>
    <w:bookmarkStart w:id="26" w:name="acceptance-and-authorization"/>
    <w:p>
      <w:pPr>
        <w:pStyle w:val="Heading3"/>
      </w:pPr>
      <w:r>
        <w:t xml:space="preserve">5. Acceptance and Authorization</w:t>
      </w:r>
    </w:p>
    <w:p>
      <w:pPr>
        <w:pStyle w:val="FirstParagraph"/>
      </w:pPr>
      <w:r>
        <w:t xml:space="preserve">By signing below, both parties acknowledge that this Purchase Order constitutes a binding agreement for the engagement of the Lawyer for the legal services described herein, to be performed within the jurisdiction of Cairo, Egypt. This document is issued in two (2) original copies, one for each party, both bearing equal legal validity under Egyptian law.</w:t>
      </w:r>
    </w:p>
    <w:bookmarkEnd w:id="26"/>
    <w:p>
      <w:pPr>
        <w:pStyle w:val="BodyText"/>
      </w:pPr>
      <w:r>
        <w:rPr>
          <w:bCs/>
          <w:b/>
        </w:rPr>
        <w:t xml:space="preserve">For the Buyer (Purchasing Entity)</w:t>
      </w:r>
      <w:r>
        <w:br/>
      </w:r>
      <w:r>
        <w:t xml:space="preserve">Nile Delta Industrial Holdings S.A.E.</w:t>
      </w:r>
      <w:r>
        <w:br/>
      </w:r>
      <w:r>
        <w:t xml:space="preserve">Name: Mr. Ahmed Hassan</w:t>
      </w:r>
      <w:r>
        <w:br/>
      </w:r>
      <w:r>
        <w:t xml:space="preserve">Title: General Counsel</w:t>
      </w:r>
      <w:r>
        <w:br/>
      </w:r>
      <w:r>
        <w:t xml:space="preserve">Signature: _________________________</w:t>
      </w:r>
      <w:r>
        <w:br/>
      </w:r>
      <w:r>
        <w:t xml:space="preserve">Date: 14 June 2025</w:t>
      </w:r>
      <w:r>
        <w:br/>
      </w:r>
      <w:r>
        <w:t xml:space="preserve">Company Stamp:</w:t>
      </w:r>
    </w:p>
    <w:p>
      <w:pPr>
        <w:pStyle w:val="BodyText"/>
      </w:pPr>
      <w:r>
        <w:rPr>
          <w:bCs/>
          <w:b/>
        </w:rPr>
        <w:t xml:space="preserve">For the Lawyer (Service Provider)</w:t>
      </w:r>
      <w:r>
        <w:br/>
      </w:r>
      <w:r>
        <w:t xml:space="preserve">Dr. Mona El-Sayed, Advocate</w:t>
      </w:r>
      <w:r>
        <w:br/>
      </w:r>
      <w:r>
        <w:t xml:space="preserve">Cairo Bar Association License No. 4471/2003</w:t>
      </w:r>
      <w:r>
        <w:br/>
      </w:r>
      <w:r>
        <w:t xml:space="preserve">Signature: _________________________</w:t>
      </w:r>
      <w:r>
        <w:br/>
      </w:r>
      <w:r>
        <w:t xml:space="preserve">Date: 14 June 2025</w:t>
      </w:r>
      <w:r>
        <w:br/>
      </w:r>
      <w:r>
        <w:t xml:space="preserve">Professional Seal:</w:t>
      </w:r>
    </w:p>
    <w:p>
      <w:pPr>
        <w:pStyle w:val="BodyText"/>
      </w:pPr>
      <w:r>
        <w:t xml:space="preserve">[Official Company Stamp – Nile Delta Industrial Holdings S.A.E., Cairo, Egypt]</w:t>
      </w:r>
      <w:r>
        <w:br/>
      </w:r>
      <w:r>
        <w:t xml:space="preserve">[Cairo Bar Association Professional Seal – Dr. Mona El-Sayed]</w:t>
      </w:r>
    </w:p>
    <w:p>
      <w:pPr>
        <w:pStyle w:val="BodyText"/>
      </w:pPr>
      <w:r>
        <w:t xml:space="preserve">This Purchase Order is issued in Cairo, Egypt and is subject to the jurisdiction of the Egyptian courts of Cairo. Document Reference: PO-EGY-CAI-2025-04782. For inquiries, contact the Legal Department of Nile Delta Industrial Holdings S.A.E., 42 El Tahrir Square, Cairo 11511, Egypt. Telephone: +20 2 2574 8831.</w:t>
      </w:r>
    </w:p>
    <w:p>
      <w:pPr>
        <w:pStyle w:val="BodyText"/>
      </w:pPr>
      <w:r>
        <w:t xml:space="preserve">© 2025 Nile Delta Industrial Holdings S.A.E. – All Rights Reserved. This document is confidential and intended solely for the named parties.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Legal Services - Cairo, Egypt</dc:title>
  <dc:creator/>
  <dc:language>en</dc:language>
  <cp:keywords/>
  <dcterms:created xsi:type="dcterms:W3CDTF">2026-10-10T08:35:54Z</dcterms:created>
  <dcterms:modified xsi:type="dcterms:W3CDTF">2026-10-10T08:35:54Z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