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Legal Professional Services — Attorney Engagement</w:t>
      </w:r>
    </w:p>
    <w:p>
      <w:pPr>
        <w:pStyle w:val="BodyText"/>
      </w:pPr>
      <w:r>
        <w:t xml:space="preserve">Issued in Germany Berlin — Federal Republic of Germany</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PO-BER-2025-04782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w:t>
            </w:r>
          </w:p>
        </w:tc>
        <w:tc>
          <w:tcPr/>
          <w:p>
            <w:pPr>
              <w:pStyle w:val="Compact"/>
              <w:jc w:val="left"/>
            </w:pPr>
            <w:r>
              <w:t xml:space="preserve">Currency:</w:t>
            </w:r>
          </w:p>
        </w:tc>
        <w:tc>
          <w:tcPr/>
          <w:p>
            <w:pPr>
              <w:pStyle w:val="Compact"/>
              <w:jc w:val="left"/>
            </w:pPr>
            <w:r>
              <w:t xml:space="preserve">EUR (Euro)</w:t>
            </w:r>
          </w:p>
        </w:tc>
      </w:tr>
      <w:tr>
        <w:tc>
          <w:tcPr/>
          <w:p>
            <w:pPr>
              <w:pStyle w:val="Compact"/>
              <w:jc w:val="left"/>
            </w:pPr>
            <w:r>
              <w:t xml:space="preserve">Issuing Entity:</w:t>
            </w:r>
          </w:p>
        </w:tc>
        <w:tc>
          <w:tcPr>
            <w:gridSpan w:val="3"/>
          </w:tcPr>
          <w:p>
            <w:pPr>
              <w:pStyle w:val="Compact"/>
              <w:jc w:val="left"/>
            </w:pPr>
            <w:r>
              <w:t xml:space="preserve">Meridian Corporate Solutions GmbH, Friedrichstraße 183, 10117 Berlin, Germany</w:t>
            </w:r>
          </w:p>
        </w:tc>
      </w:tr>
      <w:tr>
        <w:tc>
          <w:tcPr/>
          <w:p>
            <w:pPr>
              <w:pStyle w:val="Compact"/>
              <w:jc w:val="left"/>
            </w:pPr>
            <w:r>
              <w:t xml:space="preserve">Vendor / Lawyer:</w:t>
            </w:r>
          </w:p>
        </w:tc>
        <w:tc>
          <w:tcPr>
            <w:gridSpan w:val="3"/>
          </w:tcPr>
          <w:p>
            <w:pPr>
              <w:pStyle w:val="Compact"/>
              <w:jc w:val="left"/>
            </w:pPr>
            <w:r>
              <w:t xml:space="preserve">Dr. Katharina Vogel, Rechtsanwältin &amp; Partner, Vogel &amp; Brandt Rechtsanwälte PartG mbB, Unter den Linden 42, 10117 Berlin, Germany</w:t>
            </w:r>
          </w:p>
        </w:tc>
      </w:tr>
      <w:tr>
        <w:tc>
          <w:tcPr/>
          <w:p>
            <w:pPr>
              <w:pStyle w:val="Compact"/>
              <w:jc w:val="left"/>
            </w:pPr>
            <w:r>
              <w:t xml:space="preserve">USt-IdNr. (VAT):</w:t>
            </w:r>
          </w:p>
        </w:tc>
        <w:tc>
          <w:tcPr/>
          <w:p>
            <w:pPr>
              <w:pStyle w:val="Compact"/>
              <w:jc w:val="left"/>
            </w:pPr>
            <w:r>
              <w:t xml:space="preserve">DE 312 456 789</w:t>
            </w:r>
          </w:p>
        </w:tc>
        <w:tc>
          <w:tcPr/>
          <w:p>
            <w:pPr>
              <w:pStyle w:val="Compact"/>
              <w:jc w:val="left"/>
            </w:pPr>
            <w:r>
              <w:t xml:space="preserve">RAK Berlin No.:</w:t>
            </w:r>
          </w:p>
        </w:tc>
        <w:tc>
          <w:tcPr/>
          <w:p>
            <w:pPr>
              <w:pStyle w:val="Compact"/>
              <w:jc w:val="left"/>
            </w:pPr>
            <w:r>
              <w:t xml:space="preserve">158 432</w:t>
            </w:r>
          </w:p>
        </w:tc>
      </w:tr>
    </w:tbl>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Meridian Corporate Solutions GmbH (hereinafter referred to as the "Client") to formally request and authorize the engagement of a qualified</w:t>
      </w:r>
      <w:r>
        <w:t xml:space="preserve"> </w:t>
      </w:r>
      <w:r>
        <w:t xml:space="preserve">Lawyer</w:t>
      </w:r>
      <w:r>
        <w:t xml:space="preserve"> </w:t>
      </w:r>
      <w:r>
        <w:t xml:space="preserve">(Rechtsanwalt) for the provision of comprehensive legal advisory and representation services. This</w:t>
      </w:r>
      <w:r>
        <w:t xml:space="preserve"> </w:t>
      </w:r>
      <w:r>
        <w:t xml:space="preserve">Purchase Order</w:t>
      </w:r>
      <w:r>
        <w:t xml:space="preserve"> </w:t>
      </w:r>
      <w:r>
        <w:t xml:space="preserve">is governed by the laws of the Federal Republic of Germany and is to be executed within the jurisdiction of</w:t>
      </w:r>
      <w:r>
        <w:t xml:space="preserve"> </w:t>
      </w:r>
      <w:r>
        <w:t xml:space="preserve">Germany Berlin</w:t>
      </w:r>
      <w:r>
        <w:t xml:space="preserve">. The</w:t>
      </w:r>
      <w:r>
        <w:t xml:space="preserve"> </w:t>
      </w:r>
      <w:r>
        <w:t xml:space="preserve">Lawyer</w:t>
      </w:r>
      <w:r>
        <w:t xml:space="preserve"> </w:t>
      </w:r>
      <w:r>
        <w:t xml:space="preserve">engaged under this</w:t>
      </w:r>
      <w:r>
        <w:t xml:space="preserve"> </w:t>
      </w:r>
      <w:r>
        <w:t xml:space="preserve">Purchase Order</w:t>
      </w:r>
      <w:r>
        <w:t xml:space="preserve"> </w:t>
      </w:r>
      <w:r>
        <w:t xml:space="preserve">shall be a duly licensed attorney admitted to the Berlin Bar Association (Rechtsanwaltskammer Berlin) and shall perform all duties in accordance with the Federal Lawyers' Act (Bundesrechtsanwaltsordnung, BRAO) and the Professional Rules of German Lawyers (Berufsordnung für Rechtsanwälte, BORA).</w:t>
      </w:r>
    </w:p>
    <w:p>
      <w:pPr>
        <w:pStyle w:val="BodyText"/>
      </w:pPr>
      <w:r>
        <w:t xml:space="preserve">2. Description of Legal Services Requested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Estimated Hours</w:t>
            </w:r>
          </w:p>
        </w:tc>
        <w:tc>
          <w:tcPr/>
          <w:p>
            <w:pPr>
              <w:pStyle w:val="Compact"/>
              <w:jc w:val="left"/>
            </w:pPr>
            <w:r>
              <w:t xml:space="preserve">Rate (EUR/hr)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Corporate contract review and negotiation support for a multi-party commercial agreement to be executed in Germany Berlin. The Lawyer shall provide written legal opinions and attend up to four negotiation sessions.</w:t>
            </w:r>
          </w:p>
        </w:tc>
        <w:tc>
          <w:tcPr/>
          <w:p>
            <w:pPr>
              <w:pStyle w:val="Compact"/>
              <w:jc w:val="left"/>
            </w:pPr>
            <w:r>
              <w:t xml:space="preserve">32</w:t>
            </w:r>
          </w:p>
        </w:tc>
        <w:tc>
          <w:tcPr/>
          <w:p>
            <w:pPr>
              <w:pStyle w:val="Compact"/>
              <w:jc w:val="left"/>
            </w:pPr>
            <w:r>
              <w:t xml:space="preserve">280.00</w:t>
            </w:r>
          </w:p>
        </w:tc>
        <w:tc>
          <w:tcPr/>
          <w:p>
            <w:pPr>
              <w:pStyle w:val="Compact"/>
              <w:jc w:val="left"/>
            </w:pPr>
            <w:r>
              <w:t xml:space="preserve">8,960.00</w:t>
            </w:r>
          </w:p>
        </w:tc>
      </w:tr>
      <w:tr>
        <w:tc>
          <w:tcPr/>
          <w:p>
            <w:pPr>
              <w:pStyle w:val="Compact"/>
              <w:jc w:val="left"/>
            </w:pPr>
            <w:r>
              <w:t xml:space="preserve">02</w:t>
            </w:r>
          </w:p>
        </w:tc>
        <w:tc>
          <w:tcPr/>
          <w:p>
            <w:pPr>
              <w:pStyle w:val="Compact"/>
              <w:jc w:val="left"/>
            </w:pPr>
            <w:r>
              <w:t xml:space="preserve">Regulatory compliance advisory regarding German data protection law (DSGVO / GDPR) and the Federal Data Protection Act (BDSG) for the Client's operations in Germany Berlin. Includes preparation of a compliance memorandum.</w:t>
            </w:r>
          </w:p>
        </w:tc>
        <w:tc>
          <w:tcPr/>
          <w:p>
            <w:pPr>
              <w:pStyle w:val="Compact"/>
              <w:jc w:val="left"/>
            </w:pPr>
            <w:r>
              <w:t xml:space="preserve">24</w:t>
            </w:r>
          </w:p>
        </w:tc>
        <w:tc>
          <w:tcPr/>
          <w:p>
            <w:pPr>
              <w:pStyle w:val="Compact"/>
              <w:jc w:val="left"/>
            </w:pPr>
            <w:r>
              <w:t xml:space="preserve">280.00</w:t>
            </w:r>
          </w:p>
        </w:tc>
        <w:tc>
          <w:tcPr/>
          <w:p>
            <w:pPr>
              <w:pStyle w:val="Compact"/>
              <w:jc w:val="left"/>
            </w:pPr>
            <w:r>
              <w:t xml:space="preserve">6,720.00</w:t>
            </w:r>
          </w:p>
        </w:tc>
      </w:tr>
      <w:tr>
        <w:tc>
          <w:tcPr/>
          <w:p>
            <w:pPr>
              <w:pStyle w:val="Compact"/>
              <w:jc w:val="left"/>
            </w:pPr>
            <w:r>
              <w:t xml:space="preserve">03</w:t>
            </w:r>
          </w:p>
        </w:tc>
        <w:tc>
          <w:tcPr/>
          <w:p>
            <w:pPr>
              <w:pStyle w:val="Compact"/>
              <w:jc w:val="left"/>
            </w:pPr>
            <w:r>
              <w:t xml:space="preserve">Representation before the Berlin Regional Court (Landgericht Berlin) in a pending commercial dispute (Case No. 12 O 4567/25). The Lawyer shall handle all filings, hearings, and correspondence with opposing counsel.</w:t>
            </w:r>
          </w:p>
        </w:tc>
        <w:tc>
          <w:tcPr/>
          <w:p>
            <w:pPr>
              <w:pStyle w:val="Compact"/>
              <w:jc w:val="left"/>
            </w:pPr>
            <w:r>
              <w:t xml:space="preserve">40</w:t>
            </w:r>
          </w:p>
        </w:tc>
        <w:tc>
          <w:tcPr/>
          <w:p>
            <w:pPr>
              <w:pStyle w:val="Compact"/>
              <w:jc w:val="left"/>
            </w:pPr>
            <w:r>
              <w:t xml:space="preserve">320.00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Preparation and filing of a formal legal notice (Abmahnung) and subsequent settlement negotiations on behalf of the Client regarding intellectual property infringement claims arising in Germany Berlin.</w:t>
            </w:r>
          </w:p>
        </w:tc>
        <w:tc>
          <w:tcPr/>
          <w:p>
            <w:pPr>
              <w:pStyle w:val="Compact"/>
              <w:jc w:val="left"/>
            </w:pPr>
            <w:r>
              <w:t xml:space="preserve">16</w:t>
            </w:r>
          </w:p>
        </w:tc>
        <w:tc>
          <w:tcPr/>
          <w:p>
            <w:pPr>
              <w:pStyle w:val="Compact"/>
              <w:jc w:val="left"/>
            </w:pPr>
            <w:r>
              <w:t xml:space="preserve">280.00</w:t>
            </w:r>
          </w:p>
        </w:tc>
        <w:tc>
          <w:tcPr/>
          <w:p>
            <w:pPr>
              <w:pStyle w:val="Compact"/>
              <w:jc w:val="left"/>
            </w:pPr>
            <w:r>
              <w:t xml:space="preserve">4,480.00</w:t>
            </w:r>
          </w:p>
        </w:tc>
      </w:tr>
      <w:tr>
        <w:tc>
          <w:tcPr/>
          <w:p>
            <w:pPr>
              <w:pStyle w:val="Compact"/>
              <w:jc w:val="left"/>
            </w:pPr>
            <w:r>
              <w:t xml:space="preserve">05</w:t>
            </w:r>
          </w:p>
        </w:tc>
        <w:tc>
          <w:tcPr/>
          <w:p>
            <w:pPr>
              <w:pStyle w:val="Compact"/>
              <w:jc w:val="left"/>
            </w:pPr>
            <w:r>
              <w:t xml:space="preserve">General legal counsel and ongoing advisory retainer for a period of three (3) months, including availability for urgent consultations, email correspondence, and attendance at one (1) board meeting per month in Berlin.</w:t>
            </w:r>
          </w:p>
        </w:tc>
        <w:tc>
          <w:tcPr/>
          <w:p>
            <w:pPr>
              <w:pStyle w:val="Compact"/>
              <w:jc w:val="left"/>
            </w:pPr>
            <w:r>
              <w:t xml:space="preserve">60</w:t>
            </w:r>
          </w:p>
        </w:tc>
        <w:tc>
          <w:tcPr/>
          <w:p>
            <w:pPr>
              <w:pStyle w:val="Compact"/>
              <w:jc w:val="left"/>
            </w:pPr>
            <w:r>
              <w:t xml:space="preserve">250.00</w:t>
            </w:r>
          </w:p>
        </w:tc>
        <w:tc>
          <w:tcPr/>
          <w:p>
            <w:pPr>
              <w:pStyle w:val="Compact"/>
              <w:jc w:val="left"/>
            </w:pPr>
            <w:r>
              <w:t xml:space="preserve">15,000.00</w:t>
            </w:r>
          </w:p>
        </w:tc>
      </w:tr>
      <w:tr>
        <w:tc>
          <w:tcPr>
            <w:gridSpan w:val="4"/>
          </w:tcPr>
          <w:p>
            <w:pPr>
              <w:pStyle w:val="Compact"/>
              <w:jc w:val="left"/>
            </w:pPr>
            <w:r>
              <w:t xml:space="preserve">TOTAL ESTIMATED FEE (excl. 19% VAT):</w:t>
            </w:r>
          </w:p>
        </w:tc>
        <w:tc>
          <w:tcPr/>
          <w:p>
            <w:pPr>
              <w:pStyle w:val="Compact"/>
              <w:jc w:val="left"/>
            </w:pPr>
            <w:r>
              <w:t xml:space="preserve">47,960.00</w:t>
            </w:r>
          </w:p>
        </w:tc>
      </w:tr>
      <w:tr>
        <w:tc>
          <w:tcPr>
            <w:gridSpan w:val="4"/>
          </w:tcPr>
          <w:p>
            <w:pPr>
              <w:pStyle w:val="Compact"/>
              <w:jc w:val="left"/>
            </w:pPr>
            <w:r>
              <w:t xml:space="preserve">VAT (19%):</w:t>
            </w:r>
          </w:p>
        </w:tc>
        <w:tc>
          <w:tcPr/>
          <w:p>
            <w:pPr>
              <w:pStyle w:val="Compact"/>
              <w:jc w:val="left"/>
            </w:pPr>
            <w:r>
              <w:t xml:space="preserve">9,112.40</w:t>
            </w:r>
          </w:p>
        </w:tc>
      </w:tr>
      <w:tr>
        <w:tc>
          <w:tcPr>
            <w:gridSpan w:val="4"/>
          </w:tcPr>
          <w:p>
            <w:pPr>
              <w:pStyle w:val="Compact"/>
              <w:jc w:val="left"/>
            </w:pPr>
            <w:r>
              <w:t xml:space="preserve">GRAND TOTAL (incl. VAT):</w:t>
            </w:r>
          </w:p>
        </w:tc>
        <w:tc>
          <w:tcPr/>
          <w:p>
            <w:pPr>
              <w:pStyle w:val="Compact"/>
              <w:jc w:val="left"/>
            </w:pPr>
            <w:r>
              <w:t xml:space="preserve">57,072.40</w:t>
            </w:r>
          </w:p>
        </w:tc>
      </w:tr>
    </w:tbl>
    <w:p>
      <w:pPr>
        <w:pStyle w:val="BodyText"/>
      </w:pPr>
      <w:r>
        <w:t xml:space="preserve">3. Terms and Conditions of the Purchase Order</w:t>
      </w:r>
    </w:p>
    <w:p>
      <w:pPr>
        <w:pStyle w:val="BodyText"/>
      </w:pPr>
      <w:r>
        <w:rPr>
          <w:bCs/>
          <w:b/>
        </w:rPr>
        <w:t xml:space="preserve">3.1 Acceptance.</w:t>
      </w:r>
      <w:r>
        <w:t xml:space="preserve"> </w:t>
      </w:r>
      <w:r>
        <w:t xml:space="preserve">This</w:t>
      </w:r>
      <w:r>
        <w:t xml:space="preserve"> </w:t>
      </w:r>
      <w:r>
        <w:t xml:space="preserve">Purchase Order</w:t>
      </w:r>
      <w:r>
        <w:t xml:space="preserve"> </w:t>
      </w:r>
      <w:r>
        <w:t xml:space="preserve">shall become a binding contract upon written acceptance by the</w:t>
      </w:r>
      <w:r>
        <w:t xml:space="preserve"> </w:t>
      </w:r>
      <w:r>
        <w:t xml:space="preserve">Lawyer</w:t>
      </w:r>
      <w:r>
        <w:t xml:space="preserve"> </w:t>
      </w:r>
      <w:r>
        <w:t xml:space="preserve">or the law firm Vogel &amp; Brandt Rechtsanwälte PartG mbB. Acceptance must be communicated in writing (email to procurement@meridian-solutions.de) within ten (10) business days of the date of issue. Failure to respond within this period shall be deemed a rejection of this</w:t>
      </w:r>
      <w:r>
        <w:t xml:space="preserve"> </w:t>
      </w:r>
      <w:r>
        <w:t xml:space="preserve">Purchase Order</w:t>
      </w:r>
      <w:r>
        <w:t xml:space="preserve">.</w:t>
      </w:r>
    </w:p>
    <w:p>
      <w:pPr>
        <w:pStyle w:val="BodyText"/>
      </w:pPr>
      <w:r>
        <w:rPr>
          <w:bCs/>
          <w:b/>
        </w:rPr>
        <w:t xml:space="preserve">3.2 Professional Standards.</w:t>
      </w:r>
      <w:r>
        <w:t xml:space="preserve"> </w:t>
      </w:r>
      <w:r>
        <w:t xml:space="preserve">The</w:t>
      </w:r>
      <w:r>
        <w:t xml:space="preserve"> </w:t>
      </w:r>
      <w:r>
        <w:t xml:space="preserve">Lawyer</w:t>
      </w:r>
      <w:r>
        <w:t xml:space="preserve"> </w:t>
      </w:r>
      <w:r>
        <w:t xml:space="preserve">shall perform all services with the diligence and competence expected of a reasonably prudent attorney practicing in</w:t>
      </w:r>
      <w:r>
        <w:t xml:space="preserve"> </w:t>
      </w:r>
      <w:r>
        <w:t xml:space="preserve">Germany Berlin</w:t>
      </w:r>
      <w:r>
        <w:t xml:space="preserve">. The</w:t>
      </w:r>
      <w:r>
        <w:t xml:space="preserve"> </w:t>
      </w:r>
      <w:r>
        <w:t xml:space="preserve">Lawyer</w:t>
      </w:r>
      <w:r>
        <w:t xml:space="preserve"> </w:t>
      </w:r>
      <w:r>
        <w:t xml:space="preserve">shall comply with all ethical obligations set forth in the BORA and the BRAO, including the duty of confidentiality (Schweigepflicht) under Section 43a BRAO.</w:t>
      </w:r>
    </w:p>
    <w:p>
      <w:pPr>
        <w:pStyle w:val="BodyText"/>
      </w:pPr>
      <w:r>
        <w:rPr>
          <w:bCs/>
          <w:b/>
        </w:rPr>
        <w:t xml:space="preserve">3.3 Payment Terms.</w:t>
      </w:r>
      <w:r>
        <w:t xml:space="preserve"> </w:t>
      </w:r>
      <w:r>
        <w:t xml:space="preserve">Invoices issued by the</w:t>
      </w:r>
      <w:r>
        <w:t xml:space="preserve"> </w:t>
      </w:r>
      <w:r>
        <w:t xml:space="preserve">Lawyer</w:t>
      </w:r>
      <w:r>
        <w:t xml:space="preserve"> </w:t>
      </w:r>
      <w:r>
        <w:t xml:space="preserve">under this</w:t>
      </w:r>
      <w:r>
        <w:t xml:space="preserve"> </w:t>
      </w:r>
      <w:r>
        <w:t xml:space="preserve">Purchase Order</w:t>
      </w:r>
      <w:r>
        <w:t xml:space="preserve"> </w:t>
      </w:r>
      <w:r>
        <w:t xml:space="preserve">shall be payable within thirty (30) calendar days of receipt of a valid invoice. Payment shall be made via bank transfer to the account designated by the law firm. Late payments shall accrue interest at the statutory rate pursuant to Section 288 of the German Civil Code (BGB).</w:t>
      </w:r>
    </w:p>
    <w:p>
      <w:pPr>
        <w:pStyle w:val="BodyText"/>
      </w:pPr>
      <w:r>
        <w:rPr>
          <w:bCs/>
          <w:b/>
        </w:rPr>
        <w:t xml:space="preserve">3.4 Cost Transparency.</w:t>
      </w:r>
      <w:r>
        <w:t xml:space="preserve"> </w:t>
      </w:r>
      <w:r>
        <w:t xml:space="preserve">The</w:t>
      </w:r>
      <w:r>
        <w:t xml:space="preserve"> </w:t>
      </w:r>
      <w:r>
        <w:t xml:space="preserve">Lawyer</w:t>
      </w:r>
      <w:r>
        <w:t xml:space="preserve"> </w:t>
      </w:r>
      <w:r>
        <w:t xml:space="preserve">shall provide the Client with a detailed written cost estimate (Kostenvoranschlag) prior to commencing any service item listed in Section 2. Any deviation exceeding fifteen percent (15%) of the estimated fee for a single service item requires prior written approval from the Client.</w:t>
      </w:r>
    </w:p>
    <w:p>
      <w:pPr>
        <w:pStyle w:val="BodyText"/>
      </w:pPr>
      <w:r>
        <w:rPr>
          <w:bCs/>
          <w:b/>
        </w:rPr>
        <w:t xml:space="preserve">3.5 Jurisdiction and Governing Law.</w:t>
      </w:r>
      <w:r>
        <w:t xml:space="preserve"> </w:t>
      </w:r>
      <w:r>
        <w:t xml:space="preserve">This</w:t>
      </w:r>
      <w:r>
        <w:t xml:space="preserve"> </w:t>
      </w:r>
      <w:r>
        <w:t xml:space="preserve">Purchase Order</w:t>
      </w:r>
      <w:r>
        <w:t xml:space="preserve"> </w:t>
      </w:r>
      <w:r>
        <w:t xml:space="preserve">and any disputes arising herefrom shall be governed by the substantive laws of the Federal Republic of Germany. The exclusive place of jurisdiction for any litigation shall be the competent court in</w:t>
      </w:r>
      <w:r>
        <w:t xml:space="preserve"> </w:t>
      </w:r>
      <w:r>
        <w:t xml:space="preserve">Germany Berlin</w:t>
      </w:r>
      <w:r>
        <w:t xml:space="preserve">, specifically the Landgericht Berlin, unless a different jurisdiction is mandated by law.</w:t>
      </w:r>
    </w:p>
    <w:p>
      <w:pPr>
        <w:pStyle w:val="BodyText"/>
      </w:pPr>
      <w:r>
        <w:rPr>
          <w:bCs/>
          <w:b/>
        </w:rPr>
        <w:t xml:space="preserve">3.6 Confidentiality and Data Protection.</w:t>
      </w:r>
      <w:r>
        <w:t xml:space="preserve"> </w:t>
      </w:r>
      <w:r>
        <w:t xml:space="preserve">The</w:t>
      </w:r>
      <w:r>
        <w:t xml:space="preserve"> </w:t>
      </w:r>
      <w:r>
        <w:t xml:space="preserve">Lawyer</w:t>
      </w:r>
      <w:r>
        <w:t xml:space="preserve"> </w:t>
      </w:r>
      <w:r>
        <w:t xml:space="preserve">shall treat all information received in connection with this</w:t>
      </w:r>
      <w:r>
        <w:t xml:space="preserve"> </w:t>
      </w:r>
      <w:r>
        <w:t xml:space="preserve">Purchase Order</w:t>
      </w:r>
      <w:r>
        <w:t xml:space="preserve"> </w:t>
      </w:r>
      <w:r>
        <w:t xml:space="preserve">as strictly confidential. The processing of any personal data shall comply with the EU General Data Protection Regulation (DSGVO) and the German Federal Data Protection Act (BDSG). A separate Data Processing Agreement (Auftragsverarbeitungsvertrag) shall be executed prior to the commencement of services.</w:t>
      </w:r>
    </w:p>
    <w:p>
      <w:pPr>
        <w:pStyle w:val="BodyText"/>
      </w:pPr>
      <w:r>
        <w:rPr>
          <w:bCs/>
          <w:b/>
        </w:rPr>
        <w:t xml:space="preserve">3.7 Termination.</w:t>
      </w:r>
      <w:r>
        <w:t xml:space="preserve"> </w:t>
      </w:r>
      <w:r>
        <w:t xml:space="preserve">Either party may terminate this</w:t>
      </w:r>
      <w:r>
        <w:t xml:space="preserve"> </w:t>
      </w:r>
      <w:r>
        <w:t xml:space="preserve">Purchase Order</w:t>
      </w:r>
      <w:r>
        <w:t xml:space="preserve"> </w:t>
      </w:r>
      <w:r>
        <w:t xml:space="preserve">with immediate effect for cause (fristlose Kündigung) or with a notice period of fourteen (14) days for the ongoing retainer services (Ref. 05). In the event of termination, the</w:t>
      </w:r>
      <w:r>
        <w:t xml:space="preserve"> </w:t>
      </w:r>
      <w:r>
        <w:t xml:space="preserve">Lawyer</w:t>
      </w:r>
      <w:r>
        <w:t xml:space="preserve"> </w:t>
      </w:r>
      <w:r>
        <w:t xml:space="preserve">shall be entitled to compensation for work already performed, and the Client shall be released from any further payment obligations.</w:t>
      </w:r>
    </w:p>
    <w:p>
      <w:pPr>
        <w:pStyle w:val="BodyText"/>
      </w:pPr>
      <w:r>
        <w:rPr>
          <w:bCs/>
          <w:b/>
        </w:rPr>
        <w:t xml:space="preserve">3.8 Force Majeure.</w:t>
      </w:r>
      <w:r>
        <w:t xml:space="preserve"> </w:t>
      </w:r>
      <w:r>
        <w:t xml:space="preserve">Neither party shall be liable for delays or failures in performance resulting from circumstances beyond their reasonable control, including but not limited to natural disasters, governmental actions, or court closures in</w:t>
      </w:r>
      <w:r>
        <w:t xml:space="preserve"> </w:t>
      </w:r>
      <w:r>
        <w:t xml:space="preserve">Germany Berlin</w:t>
      </w:r>
      <w:r>
        <w:t xml:space="preserve">.</w:t>
      </w:r>
    </w:p>
    <w:p>
      <w:pPr>
        <w:pStyle w:val="BodyText"/>
      </w:pPr>
      <w:r>
        <w:t xml:space="preserve">4. Authorization and Signatures</w:t>
      </w:r>
    </w:p>
    <w:p>
      <w:pPr>
        <w:pStyle w:val="BodyText"/>
      </w:pPr>
      <w:r>
        <w:t xml:space="preserve">By signing below, the undersigned parties confirm that this</w:t>
      </w:r>
      <w:r>
        <w:t xml:space="preserve"> </w:t>
      </w:r>
      <w:r>
        <w:t xml:space="preserve">Purchase Order</w:t>
      </w:r>
      <w:r>
        <w:t xml:space="preserve"> </w:t>
      </w:r>
      <w:r>
        <w:t xml:space="preserve">has been reviewed, understood, and accepted. The</w:t>
      </w:r>
      <w:r>
        <w:t xml:space="preserve"> </w:t>
      </w:r>
      <w:r>
        <w:t xml:space="preserve">Lawyer</w:t>
      </w:r>
      <w:r>
        <w:t xml:space="preserve"> </w:t>
      </w:r>
      <w:r>
        <w:t xml:space="preserve">acknowledges the scope of engagement and agrees to render the specified legal services in</w:t>
      </w:r>
      <w:r>
        <w:t xml:space="preserve"> </w:t>
      </w:r>
      <w:r>
        <w:t xml:space="preserve">Germany Berlin</w:t>
      </w:r>
      <w:r>
        <w:t xml:space="preserve"> </w:t>
      </w:r>
      <w:r>
        <w:t xml:space="preserve">in accordance with the terms set forth herein.</w:t>
      </w:r>
    </w:p>
    <w:p>
      <w:pPr>
        <w:pStyle w:val="BodyText"/>
      </w:pPr>
      <w:r>
        <w:rPr>
          <w:bCs/>
          <w:b/>
        </w:rPr>
        <w:t xml:space="preserve">For the Client:</w:t>
      </w:r>
    </w:p>
    <w:p>
      <w:pPr>
        <w:pStyle w:val="BodyText"/>
      </w:pPr>
      <w:r>
        <w:t xml:space="preserve">Meridian Corporate Solutions GmbH</w:t>
      </w:r>
    </w:p>
    <w:p>
      <w:pPr>
        <w:pStyle w:val="BodyText"/>
      </w:pPr>
      <w:r>
        <w:t xml:space="preserve">Name: Markus Steinbach</w:t>
      </w:r>
      <w:r>
        <w:br/>
      </w:r>
      <w:r>
        <w:t xml:space="preserve">Title: Chief Financial Officer</w:t>
      </w:r>
      <w:r>
        <w:br/>
      </w:r>
      <w:r>
        <w:t xml:space="preserve">Date: _________________________</w:t>
      </w:r>
      <w:r>
        <w:br/>
      </w:r>
      <w:r>
        <w:t xml:space="preserve">Signature: _________________________</w:t>
      </w:r>
    </w:p>
    <w:p>
      <w:pPr>
        <w:pStyle w:val="BodyText"/>
      </w:pPr>
      <w:r>
        <w:rPr>
          <w:bCs/>
          <w:b/>
        </w:rPr>
        <w:t xml:space="preserve">For the Lawyer / Vendor:</w:t>
      </w:r>
    </w:p>
    <w:p>
      <w:pPr>
        <w:pStyle w:val="BodyText"/>
      </w:pPr>
      <w:r>
        <w:t xml:space="preserve">Vogel &amp; Brandt Rechtsanwälte PartG mbB</w:t>
      </w:r>
    </w:p>
    <w:p>
      <w:pPr>
        <w:pStyle w:val="BodyText"/>
      </w:pPr>
      <w:r>
        <w:t xml:space="preserve">Name: Dr. Katharina Vogel, RA</w:t>
      </w:r>
      <w:r>
        <w:br/>
      </w:r>
      <w:r>
        <w:t xml:space="preserve">Title: Managing Partner</w:t>
      </w:r>
      <w:r>
        <w:br/>
      </w:r>
      <w:r>
        <w:t xml:space="preserve">Date: _________________________</w:t>
      </w:r>
      <w:r>
        <w:br/>
      </w:r>
      <w:r>
        <w:t xml:space="preserve">Signature: _________________________</w:t>
      </w:r>
    </w:p>
    <w:p>
      <w:pPr>
        <w:pStyle w:val="BodyText"/>
      </w:pPr>
      <w:r>
        <w:t xml:space="preserve">This Purchase Order (PO-BER-2025-04782) is a controlled document issued by Meridian Corporate Solutions GmbH, Berlin, Germany. Unauthorized reproduction or distribution is prohibited. All references to "Lawyer" in this document refer to a Rechtsanwalt licensed under the BRAO and registered with the Rechtsanwaltskammer Berlin. This document is valid only for legal services to be performed within the territory of Germany Berlin unless otherwise agreed in writing.</w:t>
      </w:r>
    </w:p>
    <w:p>
      <w:pPr>
        <w:pStyle w:val="BodyText"/>
      </w:pPr>
      <w:r>
        <w:t xml:space="preserve">Document Version: 1.0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Germany Berlin</dc:title>
  <dc:creator/>
  <dc:language>en</dc:language>
  <cp:keywords/>
  <dcterms:created xsi:type="dcterms:W3CDTF">2026-10-10T06:44:22Z</dcterms:created>
  <dcterms:modified xsi:type="dcterms:W3CDTF">2026-10-10T06:44:22Z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