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Israel</w:t>
      </w:r>
      <w:r>
        <w:t xml:space="preserve"> </w:t>
      </w:r>
      <w:r>
        <w:t xml:space="preserve">Jerusalem</w:t>
      </w:r>
    </w:p>
    <w:bookmarkStart w:id="27" w:name="purchase-order"/>
    <w:p>
      <w:pPr>
        <w:pStyle w:val="Heading1"/>
      </w:pPr>
      <w:r>
        <w:t xml:space="preserve">PURCHASE ORDER</w:t>
      </w:r>
    </w:p>
    <w:p>
      <w:pPr>
        <w:pStyle w:val="FirstParagraph"/>
      </w:pPr>
      <w:r>
        <w:rPr>
          <w:bCs/>
          <w:b/>
        </w:rPr>
        <w:t xml:space="preserve">Legal Services Procurement — Israel Jerusalem</w:t>
      </w:r>
    </w:p>
    <w:p>
      <w:pPr>
        <w:pStyle w:val="BodyText"/>
      </w:pPr>
      <w:r>
        <w:t xml:space="preserve">PO No.: PO-IL-JLM-2025-04782</w:t>
      </w:r>
    </w:p>
    <w:p>
      <w:pPr>
        <w:pStyle w:val="BodyText"/>
      </w:pPr>
      <w:r>
        <w:t xml:space="preserve">Date of Issue: 14 June 2025</w:t>
      </w:r>
    </w:p>
    <w:p>
      <w:pPr>
        <w:pStyle w:val="BodyText"/>
      </w:pPr>
      <w:r>
        <w:t xml:space="preserve">Valid Until: 14 September 2025</w:t>
      </w:r>
    </w:p>
    <w:p>
      <w:pPr>
        <w:pStyle w:val="BodyText"/>
      </w:pPr>
      <w:r>
        <w:rPr>
          <w:bCs/>
          <w:b/>
        </w:rPr>
        <w:t xml:space="preserve">Issuing Authority:</w:t>
      </w:r>
    </w:p>
    <w:p>
      <w:pPr>
        <w:pStyle w:val="BodyText"/>
      </w:pPr>
      <w:r>
        <w:t xml:space="preserve">Procurement &amp; Legal Affairs Division</w:t>
      </w:r>
    </w:p>
    <w:p>
      <w:pPr>
        <w:pStyle w:val="BodyText"/>
      </w:pPr>
      <w:r>
        <w:t xml:space="preserve">Jerusalem Municipal Administration</w:t>
      </w:r>
    </w:p>
    <w:p>
      <w:pPr>
        <w:pStyle w:val="BodyText"/>
      </w:pPr>
      <w:r>
        <w:t xml:space="preserve">Jerusalem, Israel</w:t>
      </w:r>
    </w:p>
    <w:bookmarkStart w:id="20" w:name="vendor-service-provider-lawyer"/>
    <w:p>
      <w:pPr>
        <w:pStyle w:val="Heading2"/>
      </w:pPr>
      <w:r>
        <w:t xml:space="preserve">1. Vendor / Service Provider (Lawyer)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Law Firm Name</w:t>
            </w:r>
          </w:p>
        </w:tc>
        <w:tc>
          <w:tcPr/>
          <w:p>
            <w:pPr>
              <w:pStyle w:val="Compact"/>
              <w:jc w:val="left"/>
            </w:pPr>
            <w:r>
              <w:t xml:space="preserve">Ben-Zvi &amp; Associates Legal Counsel, Ltd.</w:t>
            </w:r>
          </w:p>
        </w:tc>
      </w:tr>
      <w:tr>
        <w:tc>
          <w:tcPr/>
          <w:p>
            <w:pPr>
              <w:pStyle w:val="Compact"/>
              <w:jc w:val="left"/>
            </w:pPr>
            <w:r>
              <w:t xml:space="preserve">Lead Lawyer</w:t>
            </w:r>
          </w:p>
        </w:tc>
        <w:tc>
          <w:tcPr/>
          <w:p>
            <w:pPr>
              <w:pStyle w:val="Compact"/>
              <w:jc w:val="left"/>
            </w:pPr>
            <w:r>
              <w:t xml:space="preserve">Adv. Miriam Ben-Zvi, LL.M. (Hebrew University of Jerusalem)</w:t>
            </w:r>
          </w:p>
        </w:tc>
      </w:tr>
      <w:tr>
        <w:tc>
          <w:tcPr/>
          <w:p>
            <w:pPr>
              <w:pStyle w:val="Compact"/>
              <w:jc w:val="left"/>
            </w:pPr>
            <w:r>
              <w:t xml:space="preserve">Bar Registration No.</w:t>
            </w:r>
          </w:p>
        </w:tc>
        <w:tc>
          <w:tcPr/>
          <w:p>
            <w:pPr>
              <w:pStyle w:val="Compact"/>
              <w:jc w:val="left"/>
            </w:pPr>
            <w:r>
              <w:t xml:space="preserve">IL-58291 (Israel Bar Association, Jerusalem District)</w:t>
            </w:r>
          </w:p>
        </w:tc>
      </w:tr>
      <w:tr>
        <w:tc>
          <w:tcPr/>
          <w:p>
            <w:pPr>
              <w:pStyle w:val="Compact"/>
              <w:jc w:val="left"/>
            </w:pPr>
            <w:r>
              <w:t xml:space="preserve">Address</w:t>
            </w:r>
          </w:p>
        </w:tc>
        <w:tc>
          <w:tcPr/>
          <w:p>
            <w:pPr>
              <w:pStyle w:val="Compact"/>
              <w:jc w:val="left"/>
            </w:pPr>
            <w:r>
              <w:t xml:space="preserve">12 King George Street, Jerusalem 9100001, Israel</w:t>
            </w:r>
          </w:p>
        </w:tc>
      </w:tr>
      <w:tr>
        <w:tc>
          <w:tcPr/>
          <w:p>
            <w:pPr>
              <w:pStyle w:val="Compact"/>
              <w:jc w:val="left"/>
            </w:pPr>
            <w:r>
              <w:t xml:space="preserve">Tax ID (VAT)</w:t>
            </w:r>
          </w:p>
        </w:tc>
        <w:tc>
          <w:tcPr/>
          <w:p>
            <w:pPr>
              <w:pStyle w:val="Compact"/>
              <w:jc w:val="left"/>
            </w:pPr>
            <w:r>
              <w:t xml:space="preserve">51-204-887-3</w:t>
            </w:r>
          </w:p>
        </w:tc>
      </w:tr>
      <w:tr>
        <w:tc>
          <w:tcPr/>
          <w:p>
            <w:pPr>
              <w:pStyle w:val="Compact"/>
              <w:jc w:val="left"/>
            </w:pPr>
            <w:r>
              <w:t xml:space="preserve">Contact Email</w:t>
            </w:r>
          </w:p>
        </w:tc>
        <w:tc>
          <w:tcPr/>
          <w:p>
            <w:pPr>
              <w:pStyle w:val="Compact"/>
              <w:jc w:val="left"/>
            </w:pPr>
            <w:r>
              <w:t xml:space="preserve">m.benzvi@benzvilegal.co.il</w:t>
            </w:r>
          </w:p>
        </w:tc>
      </w:tr>
      <w:tr>
        <w:tc>
          <w:tcPr/>
          <w:p>
            <w:pPr>
              <w:pStyle w:val="Compact"/>
              <w:jc w:val="left"/>
            </w:pPr>
            <w:r>
              <w:t xml:space="preserve">Telephone</w:t>
            </w:r>
          </w:p>
        </w:tc>
        <w:tc>
          <w:tcPr/>
          <w:p>
            <w:pPr>
              <w:pStyle w:val="Compact"/>
              <w:jc w:val="left"/>
            </w:pPr>
            <w:r>
              <w:t xml:space="preserve">+972-2-625-4410</w:t>
            </w:r>
          </w:p>
        </w:tc>
      </w:tr>
    </w:tbl>
    <w:bookmarkEnd w:id="20"/>
    <w:bookmarkStart w:id="21" w:name="buyer-requisitioning-department"/>
    <w:p>
      <w:pPr>
        <w:pStyle w:val="Heading2"/>
      </w:pPr>
      <w:r>
        <w:t xml:space="preserve">2. Buyer / Requisitioning Department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Jerusalem Municipal Administration — Office of the City Attorney</w:t>
            </w:r>
          </w:p>
        </w:tc>
      </w:tr>
      <w:tr>
        <w:tc>
          <w:tcPr/>
          <w:p>
            <w:pPr>
              <w:pStyle w:val="Compact"/>
              <w:jc w:val="left"/>
            </w:pPr>
            <w:r>
              <w:t xml:space="preserve">Department</w:t>
            </w:r>
          </w:p>
        </w:tc>
        <w:tc>
          <w:tcPr/>
          <w:p>
            <w:pPr>
              <w:pStyle w:val="Compact"/>
              <w:jc w:val="left"/>
            </w:pPr>
            <w:r>
              <w:t xml:space="preserve">Procurement &amp; Legal Affairs Division</w:t>
            </w:r>
          </w:p>
        </w:tc>
      </w:tr>
      <w:tr>
        <w:tc>
          <w:tcPr/>
          <w:p>
            <w:pPr>
              <w:pStyle w:val="Compact"/>
              <w:jc w:val="left"/>
            </w:pPr>
            <w:r>
              <w:t xml:space="preserve">Authorized Officer</w:t>
            </w:r>
          </w:p>
        </w:tc>
        <w:tc>
          <w:tcPr/>
          <w:p>
            <w:pPr>
              <w:pStyle w:val="Compact"/>
              <w:jc w:val="left"/>
            </w:pPr>
            <w:r>
              <w:t xml:space="preserve">Mr. David Levi, Senior Procurement Manager</w:t>
            </w:r>
          </w:p>
        </w:tc>
      </w:tr>
      <w:tr>
        <w:tc>
          <w:tcPr/>
          <w:p>
            <w:pPr>
              <w:pStyle w:val="Compact"/>
              <w:jc w:val="left"/>
            </w:pPr>
            <w:r>
              <w:t xml:space="preserve">Address</w:t>
            </w:r>
          </w:p>
        </w:tc>
        <w:tc>
          <w:tcPr/>
          <w:p>
            <w:pPr>
              <w:pStyle w:val="Compact"/>
              <w:jc w:val="left"/>
            </w:pPr>
            <w:r>
              <w:t xml:space="preserve">Jerusalem City Hall, 1 Yitzhak Rabin Boulevard, Jerusalem 9100001, Israel</w:t>
            </w:r>
          </w:p>
        </w:tc>
      </w:tr>
      <w:tr>
        <w:tc>
          <w:tcPr/>
          <w:p>
            <w:pPr>
              <w:pStyle w:val="Compact"/>
              <w:jc w:val="left"/>
            </w:pPr>
            <w:r>
              <w:t xml:space="preserve">Purchase Order Reference</w:t>
            </w:r>
          </w:p>
        </w:tc>
        <w:tc>
          <w:tcPr/>
          <w:p>
            <w:pPr>
              <w:pStyle w:val="Compact"/>
              <w:jc w:val="left"/>
            </w:pPr>
            <w:r>
              <w:t xml:space="preserve">PO-IL-JLM-2025-04782</w:t>
            </w:r>
          </w:p>
        </w:tc>
      </w:tr>
    </w:tbl>
    <w:bookmarkEnd w:id="21"/>
    <w:bookmarkStart w:id="22" w:name="X24e7dbe09b6314ff85fffa1342e612757954600"/>
    <w:p>
      <w:pPr>
        <w:pStyle w:val="Heading2"/>
      </w:pPr>
      <w:r>
        <w:t xml:space="preserve">3. Scope of Legal Services (Lawyer Engagement)</w:t>
      </w:r>
    </w:p>
    <w:p>
      <w:pPr>
        <w:pStyle w:val="FirstParagraph"/>
      </w:pPr>
      <w:r>
        <w:t xml:space="preserve">This Purchase Order is issued to formally engage the above-named Lawyer and legal firm to provide comprehensive legal counsel and representation services on behalf of the Jerusalem Municipal Administration. The engagement is governed by the laws of the State of Israel, including the Israeli Contracts Law, 5733-1973, the Israeli Bar Association Rules of Professional Conduct, and all applicable municipal procurement regulations in force in Jerusalem, Israel.</w:t>
      </w:r>
    </w:p>
    <w:bookmarkEnd w:id="22"/>
    <w:bookmarkStart w:id="23"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Legal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Retained legal counsel for municipal contract disputes — monthly retainer (Lawyer availability, case review, advisory memos)</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18,500</w:t>
            </w:r>
          </w:p>
        </w:tc>
        <w:tc>
          <w:tcPr/>
          <w:p>
            <w:pPr>
              <w:pStyle w:val="Compact"/>
              <w:jc w:val="left"/>
            </w:pPr>
            <w:r>
              <w:t xml:space="preserve">55,500</w:t>
            </w:r>
          </w:p>
        </w:tc>
      </w:tr>
      <w:tr>
        <w:tc>
          <w:tcPr/>
          <w:p>
            <w:pPr>
              <w:pStyle w:val="Compact"/>
              <w:jc w:val="left"/>
            </w:pPr>
            <w:r>
              <w:t xml:space="preserve">02</w:t>
            </w:r>
          </w:p>
        </w:tc>
        <w:tc>
          <w:tcPr/>
          <w:p>
            <w:pPr>
              <w:pStyle w:val="Compact"/>
              <w:jc w:val="left"/>
            </w:pPr>
            <w:r>
              <w:t xml:space="preserve">Drafting and negotiation of three (3) public procurement contracts for Jerusalem infrastructure projects</w:t>
            </w:r>
          </w:p>
        </w:tc>
        <w:tc>
          <w:tcPr/>
          <w:p>
            <w:pPr>
              <w:pStyle w:val="Compact"/>
              <w:jc w:val="left"/>
            </w:pPr>
            <w:r>
              <w:t xml:space="preserve">Contract</w:t>
            </w:r>
          </w:p>
        </w:tc>
        <w:tc>
          <w:tcPr/>
          <w:p>
            <w:pPr>
              <w:pStyle w:val="Compact"/>
              <w:jc w:val="left"/>
            </w:pPr>
            <w:r>
              <w:t xml:space="preserve">3</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03</w:t>
            </w:r>
          </w:p>
        </w:tc>
        <w:tc>
          <w:tcPr/>
          <w:p>
            <w:pPr>
              <w:pStyle w:val="Compact"/>
              <w:jc w:val="left"/>
            </w:pPr>
            <w:r>
              <w:t xml:space="preserve">Court representation before the Jerusalem District Court in two (2) pending administrative matters</w:t>
            </w:r>
          </w:p>
        </w:tc>
        <w:tc>
          <w:tcPr/>
          <w:p>
            <w:pPr>
              <w:pStyle w:val="Compact"/>
              <w:jc w:val="left"/>
            </w:pPr>
            <w:r>
              <w:t xml:space="preserve">Hearing</w:t>
            </w:r>
          </w:p>
        </w:tc>
        <w:tc>
          <w:tcPr/>
          <w:p>
            <w:pPr>
              <w:pStyle w:val="Compact"/>
              <w:jc w:val="left"/>
            </w:pPr>
            <w:r>
              <w:t xml:space="preserve">8</w:t>
            </w:r>
          </w:p>
        </w:tc>
        <w:tc>
          <w:tcPr/>
          <w:p>
            <w:pPr>
              <w:pStyle w:val="Compact"/>
              <w:jc w:val="left"/>
            </w:pPr>
            <w:r>
              <w:t xml:space="preserve">4,500</w:t>
            </w:r>
          </w:p>
        </w:tc>
        <w:tc>
          <w:tcPr/>
          <w:p>
            <w:pPr>
              <w:pStyle w:val="Compact"/>
              <w:jc w:val="left"/>
            </w:pPr>
            <w:r>
              <w:t xml:space="preserve">36,000</w:t>
            </w:r>
          </w:p>
        </w:tc>
      </w:tr>
      <w:tr>
        <w:tc>
          <w:tcPr/>
          <w:p>
            <w:pPr>
              <w:pStyle w:val="Compact"/>
              <w:jc w:val="left"/>
            </w:pPr>
            <w:r>
              <w:t xml:space="preserve">04</w:t>
            </w:r>
          </w:p>
        </w:tc>
        <w:tc>
          <w:tcPr/>
          <w:p>
            <w:pPr>
              <w:pStyle w:val="Compact"/>
              <w:jc w:val="left"/>
            </w:pPr>
            <w:r>
              <w:t xml:space="preserve">Legal opinion and compliance review under Israeli Planning and Building Law for new Jerusalem development zones</w:t>
            </w:r>
          </w:p>
        </w:tc>
        <w:tc>
          <w:tcPr/>
          <w:p>
            <w:pPr>
              <w:pStyle w:val="Compact"/>
              <w:jc w:val="left"/>
            </w:pPr>
            <w:r>
              <w:t xml:space="preserve">Opinion</w:t>
            </w:r>
          </w:p>
        </w:tc>
        <w:tc>
          <w:tcPr/>
          <w:p>
            <w:pPr>
              <w:pStyle w:val="Compact"/>
              <w:jc w:val="left"/>
            </w:pPr>
            <w:r>
              <w:t xml:space="preserve">2</w:t>
            </w:r>
          </w:p>
        </w:tc>
        <w:tc>
          <w:tcPr/>
          <w:p>
            <w:pPr>
              <w:pStyle w:val="Compact"/>
              <w:jc w:val="left"/>
            </w:pPr>
            <w:r>
              <w:t xml:space="preserve">9,750</w:t>
            </w:r>
          </w:p>
        </w:tc>
        <w:tc>
          <w:tcPr/>
          <w:p>
            <w:pPr>
              <w:pStyle w:val="Compact"/>
              <w:jc w:val="left"/>
            </w:pPr>
            <w:r>
              <w:t xml:space="preserve">19,500</w:t>
            </w:r>
          </w:p>
        </w:tc>
      </w:tr>
      <w:tr>
        <w:tc>
          <w:tcPr/>
          <w:p>
            <w:pPr>
              <w:pStyle w:val="Compact"/>
              <w:jc w:val="left"/>
            </w:pPr>
            <w:r>
              <w:t xml:space="preserve">05</w:t>
            </w:r>
          </w:p>
        </w:tc>
        <w:tc>
          <w:tcPr/>
          <w:p>
            <w:pPr>
              <w:pStyle w:val="Compact"/>
              <w:jc w:val="left"/>
            </w:pPr>
            <w:r>
              <w:t xml:space="preserve">Emergency legal consultation (on-call, up to 10 hours per month) for urgent municipal matters in Jerusalem</w:t>
            </w:r>
          </w:p>
        </w:tc>
        <w:tc>
          <w:tcPr/>
          <w:p>
            <w:pPr>
              <w:pStyle w:val="Compact"/>
              <w:jc w:val="left"/>
            </w:pPr>
            <w:r>
              <w:t xml:space="preserve">Hour</w:t>
            </w:r>
          </w:p>
        </w:tc>
        <w:tc>
          <w:tcPr/>
          <w:p>
            <w:pPr>
              <w:pStyle w:val="Compact"/>
              <w:jc w:val="left"/>
            </w:pPr>
            <w:r>
              <w:t xml:space="preserve">30</w:t>
            </w:r>
          </w:p>
        </w:tc>
        <w:tc>
          <w:tcPr/>
          <w:p>
            <w:pPr>
              <w:pStyle w:val="Compact"/>
              <w:jc w:val="left"/>
            </w:pPr>
            <w:r>
              <w:t xml:space="preserve">1,200</w:t>
            </w:r>
          </w:p>
        </w:tc>
        <w:tc>
          <w:tcPr/>
          <w:p>
            <w:pPr>
              <w:pStyle w:val="Compact"/>
              <w:jc w:val="left"/>
            </w:pPr>
            <w:r>
              <w:t xml:space="preserve">36,000</w:t>
            </w:r>
          </w:p>
        </w:tc>
      </w:tr>
      <w:tr>
        <w:tc>
          <w:tcPr/>
          <w:p>
            <w:pPr>
              <w:pStyle w:val="Compact"/>
              <w:jc w:val="left"/>
            </w:pPr>
            <w:r>
              <w:t xml:space="preserve">06</w:t>
            </w:r>
          </w:p>
        </w:tc>
        <w:tc>
          <w:tcPr/>
          <w:p>
            <w:pPr>
              <w:pStyle w:val="Compact"/>
              <w:jc w:val="left"/>
            </w:pPr>
            <w:r>
              <w:t xml:space="preserve">Translation and notarization of legal documents (Hebrew ↔ English) for international municipal agreements</w:t>
            </w:r>
          </w:p>
        </w:tc>
        <w:tc>
          <w:tcPr/>
          <w:p>
            <w:pPr>
              <w:pStyle w:val="Compact"/>
              <w:jc w:val="left"/>
            </w:pPr>
            <w:r>
              <w:t xml:space="preserve">Document</w:t>
            </w:r>
          </w:p>
        </w:tc>
        <w:tc>
          <w:tcPr/>
          <w:p>
            <w:pPr>
              <w:pStyle w:val="Compact"/>
              <w:jc w:val="left"/>
            </w:pPr>
            <w:r>
              <w:t xml:space="preserve">5</w:t>
            </w:r>
          </w:p>
        </w:tc>
        <w:tc>
          <w:tcPr/>
          <w:p>
            <w:pPr>
              <w:pStyle w:val="Compact"/>
              <w:jc w:val="left"/>
            </w:pPr>
            <w:r>
              <w:t xml:space="preserve">1,800</w:t>
            </w:r>
          </w:p>
        </w:tc>
        <w:tc>
          <w:tcPr/>
          <w:p>
            <w:pPr>
              <w:pStyle w:val="Compact"/>
              <w:jc w:val="left"/>
            </w:pPr>
            <w:r>
              <w:t xml:space="preserve">9,000</w:t>
            </w:r>
          </w:p>
        </w:tc>
      </w:tr>
    </w:tbl>
    <w:bookmarkEnd w:id="23"/>
    <w:bookmarkStart w:id="24" w:name="financial-summary"/>
    <w:p>
      <w:pPr>
        <w:pStyle w:val="Heading2"/>
      </w:pPr>
      <w:r>
        <w:t xml:space="preserve">5.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(ILS)</w:t>
            </w:r>
          </w:p>
        </w:tc>
      </w:tr>
      <w:tr>
        <w:tc>
          <w:tcPr/>
          <w:p>
            <w:pPr>
              <w:pStyle w:val="Compact"/>
              <w:jc w:val="left"/>
            </w:pPr>
            <w:r>
              <w:t xml:space="preserve">Subtotal (Items 01–06)</w:t>
            </w:r>
          </w:p>
        </w:tc>
        <w:tc>
          <w:tcPr/>
          <w:p>
            <w:pPr>
              <w:pStyle w:val="Compact"/>
              <w:jc w:val="left"/>
            </w:pPr>
            <w:r>
              <w:t xml:space="preserve">192,000.00</w:t>
            </w:r>
          </w:p>
        </w:tc>
      </w:tr>
      <w:tr>
        <w:tc>
          <w:tcPr/>
          <w:p>
            <w:pPr>
              <w:pStyle w:val="Compact"/>
              <w:jc w:val="left"/>
            </w:pPr>
            <w:r>
              <w:t xml:space="preserve">VAT (18% — Israel Value Added Tax)</w:t>
            </w:r>
          </w:p>
        </w:tc>
        <w:tc>
          <w:tcPr/>
          <w:p>
            <w:pPr>
              <w:pStyle w:val="Compact"/>
              <w:jc w:val="left"/>
            </w:pPr>
            <w:r>
              <w:t xml:space="preserve">34,560.00</w:t>
            </w:r>
          </w:p>
        </w:tc>
      </w:tr>
      <w:tr>
        <w:tc>
          <w:tcPr/>
          <w:p>
            <w:pPr>
              <w:pStyle w:val="Compact"/>
              <w:jc w:val="left"/>
            </w:pPr>
            <w:r>
              <w:rPr>
                <w:bCs/>
                <w:b/>
              </w:rPr>
              <w:t xml:space="preserve">Total Purchase Order Value</w:t>
            </w:r>
          </w:p>
        </w:tc>
        <w:tc>
          <w:tcPr/>
          <w:p>
            <w:pPr>
              <w:pStyle w:val="Compact"/>
              <w:jc w:val="left"/>
            </w:pPr>
            <w:r>
              <w:rPr>
                <w:bCs/>
                <w:b/>
              </w:rPr>
              <w:t xml:space="preserve">226,560.00</w:t>
            </w:r>
          </w:p>
        </w:tc>
      </w:tr>
    </w:tbl>
    <w:bookmarkEnd w:id="24"/>
    <w:bookmarkStart w:id="25" w:name="terms-and-conditions"/>
    <w:p>
      <w:pPr>
        <w:pStyle w:val="Heading2"/>
      </w:pPr>
      <w:r>
        <w:t xml:space="preserve">6. Terms and Conditions</w:t>
      </w:r>
    </w:p>
    <w:p>
      <w:pPr>
        <w:numPr>
          <w:ilvl w:val="0"/>
          <w:numId w:val="1001"/>
        </w:numPr>
        <w:pStyle w:val="Compact"/>
      </w:pPr>
      <w:r>
        <w:rPr>
          <w:bCs/>
          <w:b/>
        </w:rPr>
        <w:t xml:space="preserve">Governing Law:</w:t>
      </w:r>
      <w:r>
        <w:t xml:space="preserve"> </w:t>
      </w:r>
      <w:r>
        <w:t xml:space="preserve">This Purchase Order and all services rendered under it shall be governed by and construed in accordance with the laws of the State of Israel. Any disputes arising herefrom shall be subject to the exclusive jurisdiction of the courts of Jerusalem, Israel.</w:t>
      </w:r>
    </w:p>
    <w:p>
      <w:pPr>
        <w:numPr>
          <w:ilvl w:val="0"/>
          <w:numId w:val="1001"/>
        </w:numPr>
        <w:pStyle w:val="Compact"/>
      </w:pPr>
      <w:r>
        <w:rPr>
          <w:bCs/>
          <w:b/>
        </w:rPr>
        <w:t xml:space="preserve">Payment Terms:</w:t>
      </w:r>
      <w:r>
        <w:t xml:space="preserve"> </w:t>
      </w:r>
      <w:r>
        <w:t xml:space="preserve">Payment shall be made within thirty (30) calendar days of receipt of a valid invoice from the Lawyer or law firm. Invoices must reference this Purchase Order number (PO-IL-JLM-2025-04782) and include the Israeli VAT registration number. Payment shall be processed via bank transfer to the account designated by the vendor in Jerusalem.</w:t>
      </w:r>
    </w:p>
    <w:p>
      <w:pPr>
        <w:numPr>
          <w:ilvl w:val="0"/>
          <w:numId w:val="1001"/>
        </w:numPr>
        <w:pStyle w:val="Compact"/>
      </w:pPr>
      <w:r>
        <w:rPr>
          <w:bCs/>
          <w:b/>
        </w:rPr>
        <w:t xml:space="preserve">Confidentiality:</w:t>
      </w:r>
      <w:r>
        <w:t xml:space="preserve"> </w:t>
      </w:r>
      <w:r>
        <w:t xml:space="preserve">The Lawyer and all associated personnel shall maintain strict confidentiality regarding all municipal records, case files, and sensitive information pertaining to the City of Jerusalem. This obligation survives the termination of this Purchase Order for a period of five (5) years.</w:t>
      </w:r>
    </w:p>
    <w:p>
      <w:pPr>
        <w:numPr>
          <w:ilvl w:val="0"/>
          <w:numId w:val="1001"/>
        </w:numPr>
        <w:pStyle w:val="Compact"/>
      </w:pPr>
      <w:r>
        <w:rPr>
          <w:bCs/>
          <w:b/>
        </w:rPr>
        <w:t xml:space="preserve">Professional Standards:</w:t>
      </w:r>
      <w:r>
        <w:t xml:space="preserve"> </w:t>
      </w:r>
      <w:r>
        <w:t xml:space="preserve">The Lawyer shall perform all services in full compliance with the Israeli Bar Association Code of Ethics and Professional Conduct. Any breach of professional standards may result in immediate termination of this Purchase Order without penalty to the Buyer.</w:t>
      </w:r>
    </w:p>
    <w:p>
      <w:pPr>
        <w:numPr>
          <w:ilvl w:val="0"/>
          <w:numId w:val="1001"/>
        </w:numPr>
        <w:pStyle w:val="Compact"/>
      </w:pPr>
      <w:r>
        <w:rPr>
          <w:bCs/>
          <w:b/>
        </w:rPr>
        <w:t xml:space="preserve">Termination:</w:t>
      </w:r>
      <w:r>
        <w:t xml:space="preserve"> </w:t>
      </w:r>
      <w:r>
        <w:t xml:space="preserve">Either party may terminate this Purchase Order with thirty (30) days written notice. The Buyer reserves the right to terminate immediately for material breach, negligence, or failure to meet the deadlines specified in the scope of work.</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acts of God, government orders, or civil unrest affecting the Jerusalem area, in accordance with Israeli contract law.</w:t>
      </w:r>
    </w:p>
    <w:p>
      <w:pPr>
        <w:numPr>
          <w:ilvl w:val="0"/>
          <w:numId w:val="1001"/>
        </w:numPr>
        <w:pStyle w:val="Compact"/>
      </w:pPr>
      <w:r>
        <w:rPr>
          <w:bCs/>
          <w:b/>
        </w:rPr>
        <w:t xml:space="preserve">Subcontracting:</w:t>
      </w:r>
      <w:r>
        <w:t xml:space="preserve"> </w:t>
      </w:r>
      <w:r>
        <w:t xml:space="preserve">The Lawyer shall not subcontract any portion of the legal services without prior written approval from the Procurement &amp; Legal Affairs Division in Jerusalem.</w:t>
      </w:r>
    </w:p>
    <w:p>
      <w:pPr>
        <w:numPr>
          <w:ilvl w:val="0"/>
          <w:numId w:val="1001"/>
        </w:numPr>
        <w:pStyle w:val="Compact"/>
      </w:pPr>
      <w:r>
        <w:rPr>
          <w:bCs/>
          <w:b/>
        </w:rPr>
        <w:t xml:space="preserve">Dispute Resolution:</w:t>
      </w:r>
      <w:r>
        <w:t xml:space="preserve"> </w:t>
      </w:r>
      <w:r>
        <w:t xml:space="preserve">In the event of a dispute, the parties shall first attempt mediation through the Jerusalem Bar Association mediation center. Failing resolution within sixty (60) days, the matter shall be referred to the Jerusalem District Court.</w:t>
      </w:r>
    </w:p>
    <w:bookmarkEnd w:id="25"/>
    <w:bookmarkStart w:id="26" w:name="acceptance-and-authorization"/>
    <w:p>
      <w:pPr>
        <w:pStyle w:val="Heading2"/>
      </w:pPr>
      <w:r>
        <w:t xml:space="preserve">7. Acceptance and Authorization</w:t>
      </w:r>
    </w:p>
    <w:p>
      <w:pPr>
        <w:pStyle w:val="FirstParagraph"/>
      </w:pPr>
      <w:r>
        <w:t xml:space="preserve">This Purchase Order constitutes a formal request for legal services and, upon acceptance by the Lawyer, creates a binding contractual obligation for the provision of the services described herein. The acceptance of this Purchase Order by the vendor confirms that the Lawyer has reviewed all terms, agrees to the scope of work, and acknowledges the jurisdiction of the courts of Jerusalem, Israel.</w:t>
      </w:r>
    </w:p>
    <w:p>
      <w:pPr>
        <w:pStyle w:val="BodyText"/>
      </w:pPr>
      <w:r>
        <w:rPr>
          <w:bCs/>
          <w:b/>
        </w:rPr>
        <w:t xml:space="preserve">For the Buyer (Jerusalem Municipal Administration):</w:t>
      </w:r>
    </w:p>
    <w:p>
      <w:pPr>
        <w:pStyle w:val="BodyText"/>
      </w:pPr>
      <w:r>
        <w:t xml:space="preserve">Name: David Levi</w:t>
      </w:r>
    </w:p>
    <w:p>
      <w:pPr>
        <w:pStyle w:val="BodyText"/>
      </w:pPr>
      <w:r>
        <w:t xml:space="preserve">Title: Senior Procurement Manager</w:t>
      </w:r>
    </w:p>
    <w:p>
      <w:pPr>
        <w:pStyle w:val="BodyText"/>
      </w:pPr>
      <w:r>
        <w:t xml:space="preserve">Signature: _________________________</w:t>
      </w:r>
    </w:p>
    <w:p>
      <w:pPr>
        <w:pStyle w:val="BodyText"/>
      </w:pPr>
      <w:r>
        <w:t xml:space="preserve">Date: _______________</w:t>
      </w:r>
    </w:p>
    <w:p>
      <w:pPr>
        <w:pStyle w:val="BodyText"/>
      </w:pPr>
      <w:r>
        <w:rPr>
          <w:bCs/>
          <w:b/>
        </w:rPr>
        <w:t xml:space="preserve">For the Vendor (Lawyer / Law Firm):</w:t>
      </w:r>
    </w:p>
    <w:p>
      <w:pPr>
        <w:pStyle w:val="BodyText"/>
      </w:pPr>
      <w:r>
        <w:t xml:space="preserve">Name: Adv. Miriam Ben-Zvi</w:t>
      </w:r>
    </w:p>
    <w:p>
      <w:pPr>
        <w:pStyle w:val="BodyText"/>
      </w:pPr>
      <w:r>
        <w:t xml:space="preserve">Title: Lead Attorney, Ben-Zvi &amp; Associates</w:t>
      </w:r>
    </w:p>
    <w:p>
      <w:pPr>
        <w:pStyle w:val="BodyText"/>
      </w:pPr>
      <w:r>
        <w:t xml:space="preserve">Signature: _________________________</w:t>
      </w:r>
    </w:p>
    <w:p>
      <w:pPr>
        <w:pStyle w:val="BodyText"/>
      </w:pPr>
      <w:r>
        <w:t xml:space="preserve">Date: _______________</w:t>
      </w:r>
    </w:p>
    <w:p>
      <w:pPr>
        <w:pStyle w:val="BodyText"/>
      </w:pPr>
      <w:r>
        <w:rPr>
          <w:bCs/>
          <w:b/>
        </w:rPr>
        <w:t xml:space="preserve">Purchase Order No.:</w:t>
      </w:r>
      <w:r>
        <w:t xml:space="preserve"> </w:t>
      </w:r>
      <w:r>
        <w:t xml:space="preserve">PO-IL-JLM-2025-04782  | </w:t>
      </w:r>
      <w:r>
        <w:t xml:space="preserve"> </w:t>
      </w:r>
      <w:r>
        <w:rPr>
          <w:bCs/>
          <w:b/>
        </w:rPr>
        <w:t xml:space="preserve">Issued in:</w:t>
      </w:r>
      <w:r>
        <w:t xml:space="preserve"> </w:t>
      </w:r>
      <w:r>
        <w:t xml:space="preserve">Jerusalem, Israel  | </w:t>
      </w:r>
      <w:r>
        <w:t xml:space="preserve"> </w:t>
      </w:r>
      <w:r>
        <w:rPr>
          <w:bCs/>
          <w:b/>
        </w:rPr>
        <w:t xml:space="preserve">Page:</w:t>
      </w:r>
      <w:r>
        <w:t xml:space="preserve"> </w:t>
      </w:r>
      <w:r>
        <w:t xml:space="preserve">1 of 1</w:t>
      </w:r>
    </w:p>
    <w:p>
      <w:pPr>
        <w:pStyle w:val="BodyText"/>
      </w:pPr>
      <w:r>
        <w:t xml:space="preserve">This document is an official procurement record of the Jerusalem Municipal Administration. Unauthorized reproduction or distribution is prohibited under Israeli law. For inquiries, contact the Procurement &amp; Legal Affairs Division, Jerusalem City Hall, Israel.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Israel Jerusalem</dc:title>
  <dc:creator/>
  <dc:language>en</dc:language>
  <cp:keywords/>
  <dcterms:created xsi:type="dcterms:W3CDTF">2026-10-10T08:36:14Z</dcterms:created>
  <dcterms:modified xsi:type="dcterms:W3CDTF">2026-10-10T08:36:14Z</dcterms:modified>
</cp:coreProperties>
</file>

<file path=docProps/custom.xml><?xml version="1.0" encoding="utf-8"?>
<Properties xmlns="http://schemas.openxmlformats.org/officeDocument/2006/custom-properties" xmlns:vt="http://schemas.openxmlformats.org/officeDocument/2006/docPropsVTypes"/>
</file>