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Legal Services Procurement Document — Tel Aviv, Israel</w:t>
      </w:r>
    </w:p>
    <w:bookmarkEnd w:id="20"/>
    <w:p>
      <w:pPr>
        <w:pStyle w:val="BodyText"/>
      </w:pPr>
      <w:r>
        <w:t xml:space="preserve">PO No.: IL-TLV-2025-04872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Meridian Holdings Ltd.</w:t>
      </w:r>
    </w:p>
    <w:p>
      <w:pPr>
        <w:pStyle w:val="BodyText"/>
      </w:pPr>
      <w:r>
        <w:rPr>
          <w:bCs/>
          <w:b/>
        </w:rPr>
        <w:t xml:space="preserve">Address:</w:t>
      </w:r>
      <w:r>
        <w:t xml:space="preserve"> </w:t>
      </w:r>
      <w:r>
        <w:t xml:space="preserve">42 Dizengoff Street, Tel Aviv-Yafo, Israel 6350001</w:t>
      </w:r>
    </w:p>
    <w:p>
      <w:pPr>
        <w:pStyle w:val="BodyText"/>
      </w:pPr>
      <w:r>
        <w:rPr>
          <w:bCs/>
          <w:b/>
        </w:rPr>
        <w:t xml:space="preserve">VAT No.:</w:t>
      </w:r>
      <w:r>
        <w:t xml:space="preserve"> </w:t>
      </w:r>
      <w:r>
        <w:t xml:space="preserve">51-804-221-77</w:t>
      </w:r>
    </w:p>
    <w:p>
      <w:pPr>
        <w:pStyle w:val="BodyText"/>
      </w:pPr>
      <w:r>
        <w:rPr>
          <w:bCs/>
          <w:b/>
        </w:rPr>
        <w:t xml:space="preserve">Contact:</w:t>
      </w:r>
      <w:r>
        <w:t xml:space="preserve"> </w:t>
      </w:r>
      <w:r>
        <w:t xml:space="preserve">Daniel Levi, Chief Financial Officer</w:t>
      </w:r>
    </w:p>
    <w:p>
      <w:pPr>
        <w:pStyle w:val="BodyText"/>
      </w:pPr>
      <w:r>
        <w:rPr>
          <w:bCs/>
          <w:b/>
        </w:rPr>
        <w:t xml:space="preserve">Email:</w:t>
      </w:r>
      <w:r>
        <w:t xml:space="preserve"> </w:t>
      </w:r>
      <w:r>
        <w:t xml:space="preserve">d.levi@meridianholdings.co.il</w:t>
      </w:r>
    </w:p>
    <w:p>
      <w:pPr>
        <w:pStyle w:val="BodyText"/>
      </w:pPr>
      <w:r>
        <w:rPr>
          <w:bCs/>
          <w:b/>
        </w:rPr>
        <w:t xml:space="preserve">Phone:</w:t>
      </w:r>
      <w:r>
        <w:t xml:space="preserve"> </w:t>
      </w:r>
      <w:r>
        <w:t xml:space="preserve">+972-3-621-4488</w:t>
      </w:r>
    </w:p>
    <w:bookmarkEnd w:id="21"/>
    <w:bookmarkStart w:id="22" w:name="service-provider-seller"/>
    <w:p>
      <w:pPr>
        <w:pStyle w:val="Heading3"/>
      </w:pPr>
      <w:r>
        <w:t xml:space="preserve">Service Provider (Seller)</w:t>
      </w:r>
    </w:p>
    <w:p>
      <w:pPr>
        <w:pStyle w:val="FirstParagraph"/>
      </w:pPr>
      <w:r>
        <w:rPr>
          <w:bCs/>
          <w:b/>
        </w:rPr>
        <w:t xml:space="preserve">Lawyer / Firm:</w:t>
      </w:r>
      <w:r>
        <w:t xml:space="preserve"> </w:t>
      </w:r>
      <w:r>
        <w:t xml:space="preserve">Barak &amp; Stein Legal Associates</w:t>
      </w:r>
    </w:p>
    <w:p>
      <w:pPr>
        <w:pStyle w:val="BodyText"/>
      </w:pPr>
      <w:r>
        <w:rPr>
          <w:bCs/>
          <w:b/>
        </w:rPr>
        <w:t xml:space="preserve">Address:</w:t>
      </w:r>
      <w:r>
        <w:t xml:space="preserve"> </w:t>
      </w:r>
      <w:r>
        <w:t xml:space="preserve">18 Rothschild Boulevard, Tel Aviv, Israel 6388801</w:t>
      </w:r>
    </w:p>
    <w:p>
      <w:pPr>
        <w:pStyle w:val="BodyText"/>
      </w:pPr>
      <w:r>
        <w:rPr>
          <w:bCs/>
          <w:b/>
        </w:rPr>
        <w:t xml:space="preserve">VAT No.:</w:t>
      </w:r>
      <w:r>
        <w:t xml:space="preserve"> </w:t>
      </w:r>
      <w:r>
        <w:t xml:space="preserve">51-227-903-44</w:t>
      </w:r>
    </w:p>
    <w:p>
      <w:pPr>
        <w:pStyle w:val="BodyText"/>
      </w:pPr>
      <w:r>
        <w:rPr>
          <w:bCs/>
          <w:b/>
        </w:rPr>
        <w:t xml:space="preserve">Bar Registration:</w:t>
      </w:r>
      <w:r>
        <w:t xml:space="preserve"> </w:t>
      </w:r>
      <w:r>
        <w:t xml:space="preserve">IL-2019-44782</w:t>
      </w:r>
    </w:p>
    <w:p>
      <w:pPr>
        <w:pStyle w:val="BodyText"/>
      </w:pPr>
      <w:r>
        <w:rPr>
          <w:bCs/>
          <w:b/>
        </w:rPr>
        <w:t xml:space="preserve">Contact:</w:t>
      </w:r>
      <w:r>
        <w:t xml:space="preserve"> </w:t>
      </w:r>
      <w:r>
        <w:t xml:space="preserve">Adv. Miriam Barak, Senior Partner</w:t>
      </w:r>
    </w:p>
    <w:p>
      <w:pPr>
        <w:pStyle w:val="BodyText"/>
      </w:pPr>
      <w:r>
        <w:rPr>
          <w:bCs/>
          <w:b/>
        </w:rPr>
        <w:t xml:space="preserve">Email:</w:t>
      </w:r>
      <w:r>
        <w:t xml:space="preserve"> </w:t>
      </w:r>
      <w:r>
        <w:t xml:space="preserve">m.barak@barakstein.co.il</w:t>
      </w:r>
    </w:p>
    <w:p>
      <w:pPr>
        <w:pStyle w:val="BodyText"/>
      </w:pPr>
      <w:r>
        <w:rPr>
          <w:bCs/>
          <w:b/>
        </w:rPr>
        <w:t xml:space="preserve">Phone:</w:t>
      </w:r>
      <w:r>
        <w:t xml:space="preserve"> </w:t>
      </w:r>
      <w:r>
        <w:t xml:space="preserve">+972-3-520-7712</w:t>
      </w:r>
    </w:p>
    <w:bookmarkEnd w:id="22"/>
    <w:p>
      <w:pPr>
        <w:pStyle w:val="BodyText"/>
      </w:pPr>
      <w:r>
        <w:t xml:space="preserve">Scope of Legal Services</w:t>
      </w:r>
    </w:p>
    <w:p>
      <w:pPr>
        <w:pStyle w:val="BodyText"/>
      </w:pPr>
      <w:r>
        <w:t xml:space="preserve">This Purchase Order is issued by Meridian Holdings Ltd. to engage the services of a qualified Lawyer, specifically Adv. Miriam Barak of Barak &amp; Stein Legal Associates, for the provision of comprehensive legal counsel and representation in Tel Aviv, Israel. The Lawyer shall act in accordance with the Israeli Bar Association regulations, the Israeli Companies Law (5759-1999), and all applicable professional conduct standards governing legal practice in the State of Israel. The engagement is limited to the jurisdiction of Tel Aviv-Yafo and the surrounding metropolitan area unless otherwise specified in writing by both parties.</w:t>
      </w:r>
    </w:p>
    <w:p>
      <w:pPr>
        <w:pStyle w:val="BodyText"/>
      </w:pPr>
      <w:r>
        <w:t xml:space="preserve">Line Items &amp;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Legal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Amount (ILS)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Corporate governance advisory and board compliance review for Meridian Holdings Ltd. operations in Tel Aviv</w:t>
            </w:r>
          </w:p>
        </w:tc>
        <w:tc>
          <w:tcPr/>
          <w:p>
            <w:pPr>
              <w:pStyle w:val="Compact"/>
              <w:jc w:val="left"/>
            </w:pPr>
            <w:r>
              <w:t xml:space="preserve">ILS 1,800 / hour</w:t>
            </w:r>
          </w:p>
        </w:tc>
        <w:tc>
          <w:tcPr/>
          <w:p>
            <w:pPr>
              <w:pStyle w:val="Compact"/>
              <w:jc w:val="left"/>
            </w:pPr>
            <w:r>
              <w:t xml:space="preserve">40</w:t>
            </w:r>
          </w:p>
        </w:tc>
        <w:tc>
          <w:tcPr/>
          <w:p>
            <w:pPr>
              <w:pStyle w:val="Compact"/>
              <w:jc w:val="left"/>
            </w:pPr>
            <w:r>
              <w:t xml:space="preserve">72,000.00</w:t>
            </w:r>
          </w:p>
        </w:tc>
        <w:tc>
          <w:tcPr/>
          <w:p>
            <w:pPr>
              <w:pStyle w:val="Compact"/>
              <w:jc w:val="left"/>
            </w:pPr>
            <w:r>
              <w:t xml:space="preserve">12,960.00</w:t>
            </w:r>
          </w:p>
        </w:tc>
      </w:tr>
      <w:tr>
        <w:tc>
          <w:tcPr/>
          <w:p>
            <w:pPr>
              <w:pStyle w:val="Compact"/>
              <w:jc w:val="left"/>
            </w:pPr>
            <w:r>
              <w:t xml:space="preserve">2</w:t>
            </w:r>
          </w:p>
        </w:tc>
        <w:tc>
          <w:tcPr/>
          <w:p>
            <w:pPr>
              <w:pStyle w:val="Compact"/>
              <w:jc w:val="left"/>
            </w:pPr>
            <w:r>
              <w:t xml:space="preserve">Drafting and negotiation of commercial lease agreements for office space on Allenby Street, Tel Aviv</w:t>
            </w:r>
          </w:p>
        </w:tc>
        <w:tc>
          <w:tcPr/>
          <w:p>
            <w:pPr>
              <w:pStyle w:val="Compact"/>
              <w:jc w:val="left"/>
            </w:pPr>
            <w:r>
              <w:t xml:space="preserve">ILS 1,500 / hour</w:t>
            </w:r>
          </w:p>
        </w:tc>
        <w:tc>
          <w:tcPr/>
          <w:p>
            <w:pPr>
              <w:pStyle w:val="Compact"/>
              <w:jc w:val="left"/>
            </w:pPr>
            <w:r>
              <w:t xml:space="preserve">25</w:t>
            </w:r>
          </w:p>
        </w:tc>
        <w:tc>
          <w:tcPr/>
          <w:p>
            <w:pPr>
              <w:pStyle w:val="Compact"/>
              <w:jc w:val="left"/>
            </w:pPr>
            <w:r>
              <w:t xml:space="preserve">37,500.00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Intellectual property registration and enforcement (trademarks and patents) before the Israeli Patent Office</w:t>
            </w:r>
          </w:p>
        </w:tc>
        <w:tc>
          <w:tcPr/>
          <w:p>
            <w:pPr>
              <w:pStyle w:val="Compact"/>
              <w:jc w:val="left"/>
            </w:pPr>
            <w:r>
              <w:t xml:space="preserve">ILS 2,200 / hour</w:t>
            </w:r>
          </w:p>
        </w:tc>
        <w:tc>
          <w:tcPr/>
          <w:p>
            <w:pPr>
              <w:pStyle w:val="Compact"/>
              <w:jc w:val="left"/>
            </w:pPr>
            <w:r>
              <w:t xml:space="preserve">18</w:t>
            </w:r>
          </w:p>
        </w:tc>
        <w:tc>
          <w:tcPr/>
          <w:p>
            <w:pPr>
              <w:pStyle w:val="Compact"/>
              <w:jc w:val="left"/>
            </w:pPr>
            <w:r>
              <w:t xml:space="preserve">39,600.00</w:t>
            </w:r>
          </w:p>
        </w:tc>
        <w:tc>
          <w:tcPr/>
          <w:p>
            <w:pPr>
              <w:pStyle w:val="Compact"/>
              <w:jc w:val="left"/>
            </w:pPr>
            <w:r>
              <w:t xml:space="preserve">7,128.00</w:t>
            </w:r>
          </w:p>
        </w:tc>
      </w:tr>
      <w:tr>
        <w:tc>
          <w:tcPr/>
          <w:p>
            <w:pPr>
              <w:pStyle w:val="Compact"/>
              <w:jc w:val="left"/>
            </w:pPr>
            <w:r>
              <w:t xml:space="preserve">4</w:t>
            </w:r>
          </w:p>
        </w:tc>
        <w:tc>
          <w:tcPr/>
          <w:p>
            <w:pPr>
              <w:pStyle w:val="Compact"/>
              <w:jc w:val="left"/>
            </w:pPr>
            <w:r>
              <w:t xml:space="preserve">Labor law compliance audit and employment contract review for 120 employees based in Tel Aviv</w:t>
            </w:r>
          </w:p>
        </w:tc>
        <w:tc>
          <w:tcPr/>
          <w:p>
            <w:pPr>
              <w:pStyle w:val="Compact"/>
              <w:jc w:val="left"/>
            </w:pPr>
            <w:r>
              <w:t xml:space="preserve">ILS 1,600 / hour</w:t>
            </w:r>
          </w:p>
        </w:tc>
        <w:tc>
          <w:tcPr/>
          <w:p>
            <w:pPr>
              <w:pStyle w:val="Compact"/>
              <w:jc w:val="left"/>
            </w:pPr>
            <w:r>
              <w:t xml:space="preserve">30</w:t>
            </w:r>
          </w:p>
        </w:tc>
        <w:tc>
          <w:tcPr/>
          <w:p>
            <w:pPr>
              <w:pStyle w:val="Compact"/>
              <w:jc w:val="left"/>
            </w:pPr>
            <w:r>
              <w:t xml:space="preserve">48,000.00</w:t>
            </w:r>
          </w:p>
        </w:tc>
        <w:tc>
          <w:tcPr/>
          <w:p>
            <w:pPr>
              <w:pStyle w:val="Compact"/>
              <w:jc w:val="left"/>
            </w:pPr>
            <w:r>
              <w:t xml:space="preserve">8,640.00</w:t>
            </w:r>
          </w:p>
        </w:tc>
      </w:tr>
      <w:tr>
        <w:tc>
          <w:tcPr/>
          <w:p>
            <w:pPr>
              <w:pStyle w:val="Compact"/>
              <w:jc w:val="left"/>
            </w:pPr>
            <w:r>
              <w:t xml:space="preserve">5</w:t>
            </w:r>
          </w:p>
        </w:tc>
        <w:tc>
          <w:tcPr/>
          <w:p>
            <w:pPr>
              <w:pStyle w:val="Compact"/>
              <w:jc w:val="left"/>
            </w:pPr>
            <w:r>
              <w:t xml:space="preserve">Representation before the Tel Aviv District Court in pending commercial dispute (Case No. 5123456/25)</w:t>
            </w:r>
          </w:p>
        </w:tc>
        <w:tc>
          <w:tcPr/>
          <w:p>
            <w:pPr>
              <w:pStyle w:val="Compact"/>
              <w:jc w:val="left"/>
            </w:pPr>
            <w:r>
              <w:t xml:space="preserve">ILS 2,500 / hour</w:t>
            </w:r>
          </w:p>
        </w:tc>
        <w:tc>
          <w:tcPr/>
          <w:p>
            <w:pPr>
              <w:pStyle w:val="Compact"/>
              <w:jc w:val="left"/>
            </w:pPr>
            <w:r>
              <w:t xml:space="preserve">22</w:t>
            </w:r>
          </w:p>
        </w:tc>
        <w:tc>
          <w:tcPr/>
          <w:p>
            <w:pPr>
              <w:pStyle w:val="Compact"/>
              <w:jc w:val="left"/>
            </w:pPr>
            <w:r>
              <w:t xml:space="preserve">55,000.00</w:t>
            </w:r>
          </w:p>
        </w:tc>
        <w:tc>
          <w:tcPr/>
          <w:p>
            <w:pPr>
              <w:pStyle w:val="Compact"/>
              <w:jc w:val="left"/>
            </w:pPr>
            <w:r>
              <w:t xml:space="preserve">9,900.00</w:t>
            </w:r>
          </w:p>
        </w:tc>
      </w:tr>
      <w:tr>
        <w:tc>
          <w:tcPr/>
          <w:p>
            <w:pPr>
              <w:pStyle w:val="Compact"/>
              <w:jc w:val="left"/>
            </w:pPr>
            <w:r>
              <w:t xml:space="preserve">6</w:t>
            </w:r>
          </w:p>
        </w:tc>
        <w:tc>
          <w:tcPr/>
          <w:p>
            <w:pPr>
              <w:pStyle w:val="Compact"/>
              <w:jc w:val="left"/>
            </w:pPr>
            <w:r>
              <w:t xml:space="preserve">Regulatory filings with the Israeli Securities Authority (ISA) and annual disclosure preparation</w:t>
            </w:r>
          </w:p>
        </w:tc>
        <w:tc>
          <w:tcPr/>
          <w:p>
            <w:pPr>
              <w:pStyle w:val="Compact"/>
              <w:jc w:val="left"/>
            </w:pPr>
            <w:r>
              <w:t xml:space="preserve">ILS 1,900 / hour</w:t>
            </w:r>
          </w:p>
        </w:tc>
        <w:tc>
          <w:tcPr/>
          <w:p>
            <w:pPr>
              <w:pStyle w:val="Compact"/>
              <w:jc w:val="left"/>
            </w:pPr>
            <w:r>
              <w:t xml:space="preserve">15</w:t>
            </w:r>
          </w:p>
        </w:tc>
        <w:tc>
          <w:tcPr/>
          <w:p>
            <w:pPr>
              <w:pStyle w:val="Compact"/>
              <w:jc w:val="left"/>
            </w:pPr>
            <w:r>
              <w:t xml:space="preserve">28,500.00</w:t>
            </w:r>
          </w:p>
        </w:tc>
        <w:tc>
          <w:tcPr/>
          <w:p>
            <w:pPr>
              <w:pStyle w:val="Compact"/>
              <w:jc w:val="left"/>
            </w:pPr>
            <w:r>
              <w:t xml:space="preserve">5,130.00</w:t>
            </w:r>
          </w:p>
        </w:tc>
      </w:tr>
      <w:tr>
        <w:tc>
          <w:tcPr>
            <w:gridSpan w:val="4"/>
          </w:tcPr>
          <w:p>
            <w:pPr>
              <w:pStyle w:val="Compact"/>
              <w:jc w:val="left"/>
            </w:pPr>
            <w:r>
              <w:t xml:space="preserve">SUBTOTAL (Excluding VAT)</w:t>
            </w:r>
          </w:p>
        </w:tc>
        <w:tc>
          <w:tcPr/>
          <w:p>
            <w:pPr>
              <w:pStyle w:val="Compact"/>
              <w:jc w:val="left"/>
            </w:pPr>
            <w:r>
              <w:t xml:space="preserve">280,600.00</w:t>
            </w:r>
          </w:p>
        </w:tc>
        <w:tc>
          <w:tcPr/>
          <w:p>
            <w:pPr>
              <w:pStyle w:val="Compact"/>
              <w:jc w:val="left"/>
            </w:pPr>
            <w:r>
              <w:t xml:space="preserve">50,508.00</w:t>
            </w:r>
          </w:p>
        </w:tc>
      </w:tr>
      <w:tr>
        <w:tc>
          <w:tcPr>
            <w:gridSpan w:val="4"/>
          </w:tcPr>
          <w:p>
            <w:pPr>
              <w:pStyle w:val="Compact"/>
              <w:jc w:val="left"/>
            </w:pPr>
            <w:r>
              <w:t xml:space="preserve">TOTAL AMOUNT DUE (Including 18% VAT)</w:t>
            </w:r>
          </w:p>
        </w:tc>
        <w:tc>
          <w:tcPr>
            <w:gridSpan w:val="2"/>
          </w:tcPr>
          <w:p>
            <w:pPr>
              <w:pStyle w:val="Compact"/>
              <w:jc w:val="left"/>
            </w:pPr>
            <w:r>
              <w:t xml:space="preserve">331,108.00 ILS</w:t>
            </w:r>
          </w:p>
        </w:tc>
      </w:tr>
    </w:tbl>
    <w:p>
      <w:pPr>
        <w:pStyle w:val="BodyText"/>
      </w:pPr>
      <w:r>
        <w:t xml:space="preserve">All amounts are denominated in Israeli New Shekels (ILS). VAT is calculated at the standard Israeli rate of 18% as mandated by the Israeli Value Added Tax Law, 5736-1975. The Lawyer shall issue a valid Israeli VAT invoice (חשבונית מס) upon completion of each service milestone.</w:t>
      </w:r>
    </w:p>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the legal services rendered under it shall be governed by and construed in accordance with the laws of the State of Israel. Any disputes arising from this Purchase Order shall be subject to the exclusive jurisdiction of the Tel Aviv District Court, Tel Aviv, Israel.</w:t>
      </w:r>
    </w:p>
    <w:p>
      <w:pPr>
        <w:numPr>
          <w:ilvl w:val="0"/>
          <w:numId w:val="1001"/>
        </w:numPr>
        <w:pStyle w:val="Compact"/>
      </w:pPr>
      <w:r>
        <w:rPr>
          <w:bCs/>
          <w:b/>
        </w:rPr>
        <w:t xml:space="preserve">Professional Standards:</w:t>
      </w:r>
      <w:r>
        <w:t xml:space="preserve"> </w:t>
      </w:r>
      <w:r>
        <w:t xml:space="preserve">The Lawyer shall perform all duties with the skill, care, and diligence expected of a reasonably competent attorney practicing in Tel Aviv, Israel, in full compliance with the Israeli Bar Association's Code of Professional Conduct and the Attorney's Law, 5738-1978.</w:t>
      </w:r>
    </w:p>
    <w:p>
      <w:pPr>
        <w:numPr>
          <w:ilvl w:val="0"/>
          <w:numId w:val="1001"/>
        </w:numPr>
        <w:pStyle w:val="Compact"/>
      </w:pPr>
      <w:r>
        <w:rPr>
          <w:bCs/>
          <w:b/>
        </w:rPr>
        <w:t xml:space="preserve">Confidentiality:</w:t>
      </w:r>
      <w:r>
        <w:t xml:space="preserve"> </w:t>
      </w:r>
      <w:r>
        <w:t xml:space="preserve">The Lawyer and all associated personnel at Barak &amp; Stein Legal Associates shall maintain strict confidentiality regarding all information, documents, and trade secrets of Meridian Holdings Ltd. This obligation shall survive the termination of this Purchase Order for a period of five (5) years.</w:t>
      </w:r>
    </w:p>
    <w:p>
      <w:pPr>
        <w:numPr>
          <w:ilvl w:val="0"/>
          <w:numId w:val="1001"/>
        </w:numPr>
        <w:pStyle w:val="Compact"/>
      </w:pPr>
      <w:r>
        <w:rPr>
          <w:bCs/>
          <w:b/>
        </w:rPr>
        <w:t xml:space="preserve">Payment Terms:</w:t>
      </w:r>
      <w:r>
        <w:t xml:space="preserve"> </w:t>
      </w:r>
      <w:r>
        <w:t xml:space="preserve">Payment shall be made within thirty (30) days of receipt of a valid VAT invoice from the Lawyer. Payment shall be effected via bank transfer to the account designated by the Lawyer in Tel Aviv. Late payments shall accrue interest at the rate prescribed by the Israeli Interest Law, 5713-1953.</w:t>
      </w:r>
    </w:p>
    <w:p>
      <w:pPr>
        <w:numPr>
          <w:ilvl w:val="0"/>
          <w:numId w:val="1001"/>
        </w:numPr>
        <w:pStyle w:val="Compact"/>
      </w:pPr>
      <w:r>
        <w:rPr>
          <w:bCs/>
          <w:b/>
        </w:rPr>
        <w:t xml:space="preserve">Scope Limitation:</w:t>
      </w:r>
      <w:r>
        <w:t xml:space="preserve"> </w:t>
      </w:r>
      <w:r>
        <w:t xml:space="preserve">This Purchase Order covers only the services enumerated in the Line Items table above. Any additional legal work requested by the Purchasing Party shall require a written amendment to this Purchase Order signed by both parties before the Lawyer commences such work.</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be compensated for all services rendered up to the effective date of termination, and all work product shall be delivered to the Purchasing Party.</w:t>
      </w:r>
    </w:p>
    <w:p>
      <w:pPr>
        <w:numPr>
          <w:ilvl w:val="0"/>
          <w:numId w:val="1001"/>
        </w:numPr>
        <w:pStyle w:val="Compact"/>
      </w:pPr>
      <w:r>
        <w:rPr>
          <w:bCs/>
          <w:b/>
        </w:rPr>
        <w:t xml:space="preserve">Conflict of Interest:</w:t>
      </w:r>
      <w:r>
        <w:t xml:space="preserve"> </w:t>
      </w:r>
      <w:r>
        <w:t xml:space="preserve">The Lawyer warrants that no conflict of interest exists or will arise in connection with the services provided under this Purchase Order. The Lawyer shall immediately notify the Purchasing Party in writing should any potential conflict emerge during the engagement period in Tel Aviv.</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actions in Israel, or civil unrest affecting the Tel Aviv metropolitan area.</w:t>
      </w:r>
    </w:p>
    <w:p>
      <w:pPr>
        <w:numPr>
          <w:ilvl w:val="0"/>
          <w:numId w:val="1001"/>
        </w:numPr>
        <w:pStyle w:val="Compact"/>
      </w:pPr>
      <w:r>
        <w:rPr>
          <w:bCs/>
          <w:b/>
        </w:rPr>
        <w:t xml:space="preserve">Insurance:</w:t>
      </w:r>
      <w:r>
        <w:t xml:space="preserve"> </w:t>
      </w:r>
      <w:r>
        <w:t xml:space="preserve">The Lawyer shall maintain professional indemnity insurance with a minimum coverage of ILS 2,000,000, issued by a licensed insurer operating in Israel, for the duration of this Purchase Order.</w:t>
      </w:r>
    </w:p>
    <w:p>
      <w:pPr>
        <w:pStyle w:val="FirstParagraph"/>
      </w:pPr>
      <w:r>
        <w:t xml:space="preserve">Acceptance and Authorization</w:t>
      </w:r>
    </w:p>
    <w:p>
      <w:pPr>
        <w:pStyle w:val="BodyText"/>
      </w:pPr>
      <w:r>
        <w:t xml:space="preserve">By signing below, both parties acknowledge and agree to all terms, conditions, and fee structures set forth in this Purchase Order. The Purchasing Party authorizes the Lawyer to commence the legal services described herein effective from the date of the last signature. This Purchase Order constitutes a binding contractual agreement under Israeli law.</w:t>
      </w:r>
    </w:p>
    <w:p>
      <w:pPr>
        <w:pStyle w:val="BodyText"/>
      </w:pPr>
      <w:r>
        <w:rPr>
          <w:bCs/>
          <w:b/>
        </w:rPr>
        <w:t xml:space="preserve">For and on behalf of Meridian Holdings Ltd. (Buyer)</w:t>
      </w:r>
      <w:r>
        <w:br/>
      </w:r>
      <w:r>
        <w:t xml:space="preserve">Name: Daniel Levi</w:t>
      </w:r>
      <w:r>
        <w:br/>
      </w:r>
      <w:r>
        <w:t xml:space="preserve">Title: Chief Financial Officer</w:t>
      </w:r>
      <w:r>
        <w:br/>
      </w:r>
      <w:r>
        <w:t xml:space="preserve">Date: _______________</w:t>
      </w:r>
    </w:p>
    <w:p>
      <w:pPr>
        <w:pStyle w:val="BodyText"/>
      </w:pPr>
      <w:r>
        <w:rPr>
          <w:bCs/>
          <w:b/>
        </w:rPr>
        <w:t xml:space="preserve">For and on behalf of Barak &amp; Stein Legal Associates (Lawyer)</w:t>
      </w:r>
      <w:r>
        <w:br/>
      </w:r>
      <w:r>
        <w:t xml:space="preserve">Name: Adv. Miriam Barak</w:t>
      </w:r>
      <w:r>
        <w:br/>
      </w:r>
      <w:r>
        <w:t xml:space="preserve">Title: Senior Partner, Bar Registration IL-2019-44782</w:t>
      </w:r>
      <w:r>
        <w:br/>
      </w:r>
      <w:r>
        <w:t xml:space="preserve">Date: _______________</w:t>
      </w:r>
    </w:p>
    <w:p>
      <w:pPr>
        <w:pStyle w:val="BodyText"/>
      </w:pPr>
      <w:r>
        <w:t xml:space="preserve">This Purchase Order was prepared and issued in Tel Aviv, Israel. Document Reference: IL-TLV-2025-04872. For questions regarding this Purchase Order, contact the Procurement Department of Meridian Holdings Ltd. at 42 Dizengoff Street, Tel Aviv-Yafo, Israel 6350001. This document is valid only when bearing the original wet-ink signatures of both authorized representatives. Electronic copies are for reference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Tel Aviv, Israel</dc:title>
  <dc:creator/>
  <dc:language>en</dc:language>
  <cp:keywords/>
  <dcterms:created xsi:type="dcterms:W3CDTF">2026-10-10T07:02:41Z</dcterms:created>
  <dcterms:modified xsi:type="dcterms:W3CDTF">2026-10-10T07:02:41Z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