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Milan,</w:t>
      </w:r>
      <w:r>
        <w:t xml:space="preserve"> </w:t>
      </w:r>
      <w:r>
        <w:t xml:space="preserve">Italy</w:t>
      </w:r>
    </w:p>
    <w:bookmarkStart w:id="20" w:name="purchase-order"/>
    <w:p>
      <w:pPr>
        <w:pStyle w:val="Heading1"/>
      </w:pPr>
      <w:r>
        <w:t xml:space="preserve">PURCHASE ORDER</w:t>
      </w:r>
    </w:p>
    <w:p>
      <w:pPr>
        <w:pStyle w:val="FirstParagraph"/>
      </w:pPr>
      <w:r>
        <w:t xml:space="preserve">Legal Services Procurement Document — Milan, Italy</w:t>
      </w:r>
    </w:p>
    <w:p>
      <w:pPr>
        <w:pStyle w:val="BodyText"/>
      </w:pPr>
      <w:r>
        <w:t xml:space="preserve">Documento di Acquisto — Servizi Legali — Milano, Italia</w:t>
      </w:r>
    </w:p>
    <w:bookmarkEnd w:id="20"/>
    <w:p>
      <w:pPr>
        <w:pStyle w:val="BodyText"/>
      </w:pPr>
      <w:r>
        <w:rPr>
          <w:bCs/>
          <w:b/>
        </w:rPr>
        <w:t xml:space="preserve">Purchase Order No.:</w:t>
      </w:r>
      <w:r>
        <w:t xml:space="preserve"> </w:t>
      </w:r>
      <w:r>
        <w:t xml:space="preserve">PO-MIL-2025-04872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Reference:</w:t>
      </w:r>
      <w:r>
        <w:t xml:space="preserve"> </w:t>
      </w:r>
      <w:r>
        <w:t xml:space="preserve">LEG-SVC-MI-2025-114</w:t>
      </w:r>
      <w:r>
        <w:br/>
      </w:r>
      <w:r>
        <w:rPr>
          <w:bCs/>
          <w:b/>
        </w:rPr>
        <w:t xml:space="preserve">Priority:</w:t>
      </w:r>
      <w:r>
        <w:t xml:space="preserve"> </w:t>
      </w:r>
      <w:r>
        <w:t xml:space="preserve">Standard</w:t>
      </w:r>
      <w:r>
        <w:br/>
      </w:r>
      <w:r>
        <w:rPr>
          <w:bCs/>
          <w:b/>
        </w:rPr>
        <w:t xml:space="preserve">Country of Execution:</w:t>
      </w:r>
      <w:r>
        <w:t xml:space="preserve"> </w:t>
      </w:r>
      <w:r>
        <w:t xml:space="preserve">Italy (Milan)</w:t>
      </w:r>
    </w:p>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(Client)</w:t>
            </w:r>
          </w:p>
        </w:tc>
        <w:tc>
          <w:tcPr/>
          <w:p>
            <w:pPr>
              <w:pStyle w:val="Compact"/>
              <w:jc w:val="left"/>
            </w:pPr>
            <w:r>
              <w:t xml:space="preserve">Seller (Lawyer / Law Firm)</w:t>
            </w:r>
          </w:p>
        </w:tc>
      </w:tr>
      <w:tr>
        <w:tc>
          <w:tcPr/>
          <w:p>
            <w:pPr>
              <w:pStyle w:val="Compact"/>
              <w:jc w:val="left"/>
            </w:pPr>
            <w:r>
              <w:rPr>
                <w:bCs/>
                <w:b/>
              </w:rPr>
              <w:t xml:space="preserve">Company:</w:t>
            </w:r>
            <w:r>
              <w:t xml:space="preserve"> </w:t>
            </w:r>
            <w:r>
              <w:t xml:space="preserve">FinTech Solutions S.r.l.</w:t>
            </w:r>
            <w:r>
              <w:br/>
            </w:r>
            <w:r>
              <w:rPr>
                <w:bCs/>
                <w:b/>
              </w:rPr>
              <w:t xml:space="preserve">VAT (P.IVA):</w:t>
            </w:r>
            <w:r>
              <w:t xml:space="preserve"> </w:t>
            </w:r>
            <w:r>
              <w:t xml:space="preserve">IT09876543210</w:t>
            </w:r>
            <w:r>
              <w:br/>
            </w:r>
            <w:r>
              <w:rPr>
                <w:bCs/>
                <w:b/>
              </w:rPr>
              <w:t xml:space="preserve">Address:</w:t>
            </w:r>
            <w:r>
              <w:t xml:space="preserve"> </w:t>
            </w:r>
            <w:r>
              <w:t xml:space="preserve">Via Montenapoleone 42, 20121 Milan, Italy</w:t>
            </w:r>
            <w:r>
              <w:br/>
            </w:r>
            <w:r>
              <w:rPr>
                <w:bCs/>
                <w:b/>
              </w:rPr>
              <w:t xml:space="preserve">Contact:</w:t>
            </w:r>
            <w:r>
              <w:t xml:space="preserve"> </w:t>
            </w:r>
            <w:r>
              <w:t xml:space="preserve">procurement@fintechsolutions.it</w:t>
            </w:r>
            <w:r>
              <w:br/>
            </w:r>
            <w:r>
              <w:rPr>
                <w:bCs/>
                <w:b/>
              </w:rPr>
              <w:t xml:space="preserve">Authorized Signatory:</w:t>
            </w:r>
            <w:r>
              <w:t xml:space="preserve"> </w:t>
            </w:r>
            <w:r>
              <w:t xml:space="preserve">Dr. Alessandro Marchetti, CFO</w:t>
            </w:r>
          </w:p>
        </w:tc>
        <w:tc>
          <w:tcPr/>
          <w:p>
            <w:pPr>
              <w:pStyle w:val="Compact"/>
              <w:jc w:val="left"/>
            </w:pPr>
            <w:r>
              <w:rPr>
                <w:bCs/>
                <w:b/>
              </w:rPr>
              <w:t xml:space="preserve">Lawyer / Firm:</w:t>
            </w:r>
            <w:r>
              <w:t xml:space="preserve"> </w:t>
            </w:r>
            <w:r>
              <w:t xml:space="preserve">Studio Legale Bianchi &amp; Associati</w:t>
            </w:r>
            <w:r>
              <w:br/>
            </w:r>
            <w:r>
              <w:rPr>
                <w:bCs/>
                <w:b/>
              </w:rPr>
              <w:t xml:space="preserve">VAT (P.IVA):</w:t>
            </w:r>
            <w:r>
              <w:t xml:space="preserve"> </w:t>
            </w:r>
            <w:r>
              <w:t xml:space="preserve">IT01234567890</w:t>
            </w:r>
            <w:r>
              <w:br/>
            </w:r>
            <w:r>
              <w:rPr>
                <w:bCs/>
                <w:b/>
              </w:rPr>
              <w:t xml:space="preserve">Address:</w:t>
            </w:r>
            <w:r>
              <w:t xml:space="preserve"> </w:t>
            </w:r>
            <w:r>
              <w:t xml:space="preserve">Corso Vittorio Emanuele II 88, 20129 Milan, Italy</w:t>
            </w:r>
            <w:r>
              <w:br/>
            </w:r>
            <w:r>
              <w:rPr>
                <w:bCs/>
                <w:b/>
              </w:rPr>
              <w:t xml:space="preserve">Contact:</w:t>
            </w:r>
            <w:r>
              <w:t xml:space="preserve"> </w:t>
            </w:r>
            <w:r>
              <w:t xml:space="preserve">info@studiobianchi.it</w:t>
            </w:r>
            <w:r>
              <w:br/>
            </w:r>
            <w:r>
              <w:rPr>
                <w:bCs/>
                <w:b/>
              </w:rPr>
              <w:t xml:space="preserve">Lead Lawyer:</w:t>
            </w:r>
            <w:r>
              <w:t xml:space="preserve"> </w:t>
            </w:r>
            <w:r>
              <w:t xml:space="preserve">Avv. Francesca Bianchi, Iscrizione Albo Forense di Milano n. 12345</w:t>
            </w:r>
          </w:p>
        </w:tc>
      </w:tr>
    </w:tbl>
    <w:p>
      <w:pPr>
        <w:pStyle w:val="BodyText"/>
      </w:pPr>
      <w:r>
        <w:t xml:space="preserve">2. Scope of Legal Services</w:t>
      </w:r>
    </w:p>
    <w:p>
      <w:pPr>
        <w:pStyle w:val="BodyText"/>
      </w:pPr>
      <w:r>
        <w:t xml:space="preserve">This Purchase Order is issued by FinTech Solutions S.r.l. to engage the services of</w:t>
      </w:r>
      <w:r>
        <w:t xml:space="preserve"> </w:t>
      </w:r>
      <w:r>
        <w:t xml:space="preserve">Avv. Francesca Bianchi</w:t>
      </w:r>
      <w:r>
        <w:t xml:space="preserve"> </w:t>
      </w:r>
      <w:r>
        <w:t xml:space="preserve">and her legal team at Studio Legale Bianchi &amp; Associati, a registered law firm operating in</w:t>
      </w:r>
      <w:r>
        <w:t xml:space="preserve"> </w:t>
      </w:r>
      <w:r>
        <w:t xml:space="preserve">Milan, Italy</w:t>
      </w:r>
      <w:r>
        <w:t xml:space="preserve">, to provide comprehensive legal counsel and representation in accordance with Italian law. The Lawyer engaged under this Purchase Order shall act in full compliance with the Italian Code of Professional Conduct for Lawyers (Codice Deontologico Forense) and all applicable regulations of the Milan Bar Association (Ordine degli Avvocati di Milano).</w:t>
      </w:r>
    </w:p>
    <w:p>
      <w:pPr>
        <w:pStyle w:val="BodyText"/>
      </w:pPr>
      <w:r>
        <w:t xml:space="preserve">3. Line Items — Services and Fees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Legal Service</w:t>
            </w:r>
          </w:p>
        </w:tc>
        <w:tc>
          <w:tcPr/>
          <w:p>
            <w:pPr>
              <w:pStyle w:val="Compact"/>
              <w:jc w:val="left"/>
            </w:pPr>
            <w:r>
              <w:t xml:space="preserve">Rate / Fee (EUR)</w:t>
            </w:r>
          </w:p>
        </w:tc>
        <w:tc>
          <w:tcPr/>
          <w:p>
            <w:pPr>
              <w:pStyle w:val="Compact"/>
              <w:jc w:val="left"/>
            </w:pPr>
            <w:r>
              <w:t xml:space="preserve">Est. Hours</w:t>
            </w:r>
          </w:p>
        </w:tc>
        <w:tc>
          <w:tcPr/>
          <w:p>
            <w:pPr>
              <w:pStyle w:val="Compact"/>
              <w:jc w:val="left"/>
            </w:pPr>
            <w:r>
              <w:t xml:space="preserve">Subtotal (EUR)</w:t>
            </w:r>
          </w:p>
        </w:tc>
      </w:tr>
      <w:tr>
        <w:tc>
          <w:tcPr/>
          <w:p>
            <w:pPr>
              <w:pStyle w:val="Compact"/>
              <w:jc w:val="left"/>
            </w:pPr>
            <w:r>
              <w:t xml:space="preserve">1</w:t>
            </w:r>
          </w:p>
        </w:tc>
        <w:tc>
          <w:tcPr/>
          <w:p>
            <w:pPr>
              <w:pStyle w:val="Compact"/>
              <w:jc w:val="left"/>
            </w:pPr>
            <w:r>
              <w:t xml:space="preserve">Corporate legal advisory — review and drafting of shareholder agreements, bylaws, and governance documents under Italian Civil Code (Codice Civile, Book V). The Lawyer shall provide written opinions and attend up to four in-person meetings at the firm's offices in Milan.</w:t>
            </w:r>
          </w:p>
        </w:tc>
        <w:tc>
          <w:tcPr/>
          <w:p>
            <w:pPr>
              <w:pStyle w:val="Compact"/>
              <w:jc w:val="left"/>
            </w:pPr>
            <w:r>
              <w:t xml:space="preserve">€250.00 / hr</w:t>
            </w:r>
          </w:p>
        </w:tc>
        <w:tc>
          <w:tcPr/>
          <w:p>
            <w:pPr>
              <w:pStyle w:val="Compact"/>
              <w:jc w:val="left"/>
            </w:pPr>
            <w:r>
              <w:t xml:space="preserve">40</w:t>
            </w:r>
          </w:p>
        </w:tc>
        <w:tc>
          <w:tcPr/>
          <w:p>
            <w:pPr>
              <w:pStyle w:val="Compact"/>
              <w:jc w:val="left"/>
            </w:pPr>
            <w:r>
              <w:t xml:space="preserve">€10,000.00</w:t>
            </w:r>
          </w:p>
        </w:tc>
      </w:tr>
      <w:tr>
        <w:tc>
          <w:tcPr/>
          <w:p>
            <w:pPr>
              <w:pStyle w:val="Compact"/>
              <w:jc w:val="left"/>
            </w:pPr>
            <w:r>
              <w:t xml:space="preserve">2</w:t>
            </w:r>
          </w:p>
        </w:tc>
        <w:tc>
          <w:tcPr/>
          <w:p>
            <w:pPr>
              <w:pStyle w:val="Compact"/>
              <w:jc w:val="left"/>
            </w:pPr>
            <w:r>
              <w:t xml:space="preserve">Regulatory compliance — analysis of MiCA (Markets in Crypto-Assets) regulation and CONSOB requirements applicable to the Buyer's digital asset operations in Italy. The Lawyer shall prepare a formal compliance memorandum and present findings to the Buyer's board in Milan.</w:t>
            </w:r>
          </w:p>
        </w:tc>
        <w:tc>
          <w:tcPr/>
          <w:p>
            <w:pPr>
              <w:pStyle w:val="Compact"/>
              <w:jc w:val="left"/>
            </w:pPr>
            <w:r>
              <w:t xml:space="preserve">€300.00 / hr</w:t>
            </w:r>
          </w:p>
        </w:tc>
        <w:tc>
          <w:tcPr/>
          <w:p>
            <w:pPr>
              <w:pStyle w:val="Compact"/>
              <w:jc w:val="left"/>
            </w:pPr>
            <w:r>
              <w:t xml:space="preserve">30</w:t>
            </w:r>
          </w:p>
        </w:tc>
        <w:tc>
          <w:tcPr/>
          <w:p>
            <w:pPr>
              <w:pStyle w:val="Compact"/>
              <w:jc w:val="left"/>
            </w:pPr>
            <w:r>
              <w:t xml:space="preserve">€9,000.00</w:t>
            </w:r>
          </w:p>
        </w:tc>
      </w:tr>
      <w:tr>
        <w:tc>
          <w:tcPr/>
          <w:p>
            <w:pPr>
              <w:pStyle w:val="Compact"/>
              <w:jc w:val="left"/>
            </w:pPr>
            <w:r>
              <w:t xml:space="preserve">3</w:t>
            </w:r>
          </w:p>
        </w:tc>
        <w:tc>
          <w:tcPr/>
          <w:p>
            <w:pPr>
              <w:pStyle w:val="Compact"/>
              <w:jc w:val="left"/>
            </w:pPr>
            <w:r>
              <w:t xml:space="preserve">Contract negotiation — negotiation and execution of a master service agreement with a third-party technology vendor registered in Milan. The Lawyer shall conduct all negotiations, redline documents, and ensure enforceability under Italian contract law (Art. 1321 et seq., Codice Civile).</w:t>
            </w:r>
          </w:p>
        </w:tc>
        <w:tc>
          <w:tcPr/>
          <w:p>
            <w:pPr>
              <w:pStyle w:val="Compact"/>
              <w:jc w:val="left"/>
            </w:pPr>
            <w:r>
              <w:t xml:space="preserve">€275.00 / hr</w:t>
            </w:r>
          </w:p>
        </w:tc>
        <w:tc>
          <w:tcPr/>
          <w:p>
            <w:pPr>
              <w:pStyle w:val="Compact"/>
              <w:jc w:val="left"/>
            </w:pPr>
            <w:r>
              <w:t xml:space="preserve">25</w:t>
            </w:r>
          </w:p>
        </w:tc>
        <w:tc>
          <w:tcPr/>
          <w:p>
            <w:pPr>
              <w:pStyle w:val="Compact"/>
              <w:jc w:val="left"/>
            </w:pPr>
            <w:r>
              <w:t xml:space="preserve">€6,875.00</w:t>
            </w:r>
          </w:p>
        </w:tc>
      </w:tr>
      <w:tr>
        <w:tc>
          <w:tcPr/>
          <w:p>
            <w:pPr>
              <w:pStyle w:val="Compact"/>
              <w:jc w:val="left"/>
            </w:pPr>
            <w:r>
              <w:t xml:space="preserve">4</w:t>
            </w:r>
          </w:p>
        </w:tc>
        <w:tc>
          <w:tcPr/>
          <w:p>
            <w:pPr>
              <w:pStyle w:val="Compact"/>
              <w:jc w:val="left"/>
            </w:pPr>
            <w:r>
              <w:t xml:space="preserve">Labor law consultation — advisory on employment contracts, collective bargaining agreements (CCNL), and compliance with Italian labor legislation (D.Lgs. 81/2008) for the Buyer's Milan-based workforce of 120 employees.</w:t>
            </w:r>
          </w:p>
        </w:tc>
        <w:tc>
          <w:tcPr/>
          <w:p>
            <w:pPr>
              <w:pStyle w:val="Compact"/>
              <w:jc w:val="left"/>
            </w:pPr>
            <w:r>
              <w:t xml:space="preserve">€225.00 / hr</w:t>
            </w:r>
          </w:p>
        </w:tc>
        <w:tc>
          <w:tcPr/>
          <w:p>
            <w:pPr>
              <w:pStyle w:val="Compact"/>
              <w:jc w:val="left"/>
            </w:pPr>
            <w:r>
              <w:t xml:space="preserve">20</w:t>
            </w:r>
          </w:p>
        </w:tc>
        <w:tc>
          <w:tcPr/>
          <w:p>
            <w:pPr>
              <w:pStyle w:val="Compact"/>
              <w:jc w:val="left"/>
            </w:pPr>
            <w:r>
              <w:t xml:space="preserve">€4,500.00</w:t>
            </w:r>
          </w:p>
        </w:tc>
      </w:tr>
      <w:tr>
        <w:tc>
          <w:tcPr/>
          <w:p>
            <w:pPr>
              <w:pStyle w:val="Compact"/>
              <w:jc w:val="left"/>
            </w:pPr>
            <w:r>
              <w:t xml:space="preserve">5</w:t>
            </w:r>
          </w:p>
        </w:tc>
        <w:tc>
          <w:tcPr/>
          <w:p>
            <w:pPr>
              <w:pStyle w:val="Compact"/>
              <w:jc w:val="left"/>
            </w:pPr>
            <w:r>
              <w:t xml:space="preserve">Intellectual property — filing and prosecution of two utility model applications and one trademark registration with the Italian Patent and Trademark Office (UIBM) in Rome, with all correspondence and representation handled by the Lawyer in Milan.</w:t>
            </w:r>
          </w:p>
        </w:tc>
        <w:tc>
          <w:tcPr/>
          <w:p>
            <w:pPr>
              <w:pStyle w:val="Compact"/>
              <w:jc w:val="left"/>
            </w:pPr>
            <w:r>
              <w:t xml:space="preserve">Fixed fee</w:t>
            </w:r>
          </w:p>
        </w:tc>
        <w:tc>
          <w:tcPr/>
          <w:p>
            <w:pPr>
              <w:pStyle w:val="Compact"/>
              <w:jc w:val="left"/>
            </w:pPr>
            <w:r>
              <w:t xml:space="preserve">—</w:t>
            </w:r>
          </w:p>
        </w:tc>
        <w:tc>
          <w:tcPr/>
          <w:p>
            <w:pPr>
              <w:pStyle w:val="Compact"/>
              <w:jc w:val="left"/>
            </w:pPr>
            <w:r>
              <w:t xml:space="preserve">€3,500.00</w:t>
            </w:r>
          </w:p>
        </w:tc>
      </w:tr>
      <w:tr>
        <w:tc>
          <w:tcPr/>
          <w:p>
            <w:pPr>
              <w:pStyle w:val="Compact"/>
              <w:jc w:val="left"/>
            </w:pPr>
            <w:r>
              <w:t xml:space="preserve">6</w:t>
            </w:r>
          </w:p>
        </w:tc>
        <w:tc>
          <w:tcPr/>
          <w:p>
            <w:pPr>
              <w:pStyle w:val="Compact"/>
              <w:jc w:val="left"/>
            </w:pPr>
            <w:r>
              <w:t xml:space="preserve">Dispute resolution — representation before the Tribunale Ordinario di Milano in a pending commercial dispute (Case No. 2025/4471). The Lawyer shall handle all pleadings, hearings, and settlement negotiations.</w:t>
            </w:r>
          </w:p>
        </w:tc>
        <w:tc>
          <w:tcPr/>
          <w:p>
            <w:pPr>
              <w:pStyle w:val="Compact"/>
              <w:jc w:val="left"/>
            </w:pPr>
            <w:r>
              <w:t xml:space="preserve">€350.00 / hr</w:t>
            </w:r>
          </w:p>
        </w:tc>
        <w:tc>
          <w:tcPr/>
          <w:p>
            <w:pPr>
              <w:pStyle w:val="Compact"/>
              <w:jc w:val="left"/>
            </w:pPr>
            <w:r>
              <w:t xml:space="preserve">35</w:t>
            </w:r>
          </w:p>
        </w:tc>
        <w:tc>
          <w:tcPr/>
          <w:p>
            <w:pPr>
              <w:pStyle w:val="Compact"/>
              <w:jc w:val="left"/>
            </w:pPr>
            <w:r>
              <w:t xml:space="preserve">€12,250.00</w:t>
            </w:r>
          </w:p>
        </w:tc>
      </w:tr>
      <w:tr>
        <w:tc>
          <w:tcPr>
            <w:gridSpan w:val="4"/>
          </w:tcPr>
          <w:p>
            <w:pPr>
              <w:pStyle w:val="Compact"/>
              <w:jc w:val="right"/>
            </w:pPr>
            <w:r>
              <w:t xml:space="preserve">Subtotal (before VAT):</w:t>
            </w:r>
          </w:p>
        </w:tc>
        <w:tc>
          <w:tcPr/>
          <w:p>
            <w:pPr>
              <w:pStyle w:val="Compact"/>
              <w:jc w:val="left"/>
            </w:pPr>
            <w:r>
              <w:t xml:space="preserve">€46,125.00</w:t>
            </w:r>
          </w:p>
        </w:tc>
      </w:tr>
      <w:tr>
        <w:tc>
          <w:tcPr>
            <w:gridSpan w:val="4"/>
          </w:tcPr>
          <w:p>
            <w:pPr>
              <w:pStyle w:val="Compact"/>
              <w:jc w:val="right"/>
            </w:pPr>
            <w:r>
              <w:t xml:space="preserve">VAT (IVA) at 22% (Italian standard rate):</w:t>
            </w:r>
          </w:p>
        </w:tc>
        <w:tc>
          <w:tcPr/>
          <w:p>
            <w:pPr>
              <w:pStyle w:val="Compact"/>
              <w:jc w:val="left"/>
            </w:pPr>
            <w:r>
              <w:t xml:space="preserve">€10,147.50</w:t>
            </w:r>
          </w:p>
        </w:tc>
      </w:tr>
      <w:tr>
        <w:tc>
          <w:tcPr>
            <w:gridSpan w:val="4"/>
          </w:tcPr>
          <w:p>
            <w:pPr>
              <w:pStyle w:val="Compact"/>
              <w:jc w:val="right"/>
            </w:pPr>
            <w:r>
              <w:t xml:space="preserve">TOTAL AMOUNT DUE (EUR):</w:t>
            </w:r>
          </w:p>
        </w:tc>
        <w:tc>
          <w:tcPr/>
          <w:p>
            <w:pPr>
              <w:pStyle w:val="Compact"/>
              <w:jc w:val="left"/>
            </w:pPr>
            <w:r>
              <w:t xml:space="preserve">€56,272.50</w:t>
            </w:r>
          </w:p>
        </w:tc>
      </w:tr>
    </w:tbl>
    <w:p>
      <w:pPr>
        <w:pStyle w:val="BodyText"/>
      </w:pPr>
      <w:r>
        <w:rPr>
          <w:bCs/>
          <w:b/>
        </w:rPr>
        <w:t xml:space="preserve">Tax Note:</w:t>
      </w:r>
      <w:r>
        <w:t xml:space="preserve"> </w:t>
      </w:r>
      <w:r>
        <w:t xml:space="preserve">All fees are subject to Italian Value Added Tax (Imposta sul Valore Aggiunto — IVA) at the standard rate of 22% as per D.P.R. 633/1972. The Lawyer shall issue a compliant electronic invoice (fattura elettronica) through the Sistema di Interscambio (SdI) in accordance with Italian tax regulations. No withholding tax applies as both parties are Italian VAT-registered entities.</w:t>
      </w:r>
    </w:p>
    <w:p>
      <w:pPr>
        <w:pStyle w:val="BodyText"/>
      </w:pPr>
      <w:r>
        <w:t xml:space="preserve">4. Terms and Conditions</w:t>
      </w:r>
    </w:p>
    <w:p>
      <w:pPr>
        <w:numPr>
          <w:ilvl w:val="0"/>
          <w:numId w:val="1001"/>
        </w:numPr>
        <w:pStyle w:val="Compact"/>
      </w:pPr>
      <w:r>
        <w:rPr>
          <w:bCs/>
          <w:b/>
        </w:rPr>
        <w:t xml:space="preserve">Governing Law and Jurisdiction:</w:t>
      </w:r>
      <w:r>
        <w:t xml:space="preserve"> </w:t>
      </w:r>
      <w:r>
        <w:t xml:space="preserve">This Purchase Order and all services rendered under it shall be governed by and construed in accordance with the laws of the Italian Republic. Any dispute arising from or in connection with this Purchase Order shall be subject to the exclusive jurisdiction of the Tribunale Ordinario di Milano, Italy, unless otherwise agreed in writing by both parties.</w:t>
      </w:r>
    </w:p>
    <w:p>
      <w:pPr>
        <w:numPr>
          <w:ilvl w:val="0"/>
          <w:numId w:val="1001"/>
        </w:numPr>
        <w:pStyle w:val="Compact"/>
      </w:pPr>
      <w:r>
        <w:rPr>
          <w:bCs/>
          <w:b/>
        </w:rPr>
        <w:t xml:space="preserve">Professional Independence of the Lawyer:</w:t>
      </w:r>
      <w:r>
        <w:t xml:space="preserve"> </w:t>
      </w:r>
      <w:r>
        <w:t xml:space="preserve">The Lawyer engaged under this Purchase Order shall exercise full professional independence in the performance of legal services. The Buyer acknowledges that the Lawyer is bound by the Italian Code of Professional Conduct for Lawyers and the ethical rules of the Milan Bar Association. The Buyer shall not interfere with the Lawyer's professional judgment.</w:t>
      </w:r>
    </w:p>
    <w:p>
      <w:pPr>
        <w:numPr>
          <w:ilvl w:val="0"/>
          <w:numId w:val="1001"/>
        </w:numPr>
        <w:pStyle w:val="Compact"/>
      </w:pPr>
      <w:r>
        <w:rPr>
          <w:bCs/>
          <w:b/>
        </w:rPr>
        <w:t xml:space="preserve">Confidentiality and Data Protection:</w:t>
      </w:r>
      <w:r>
        <w:t xml:space="preserve"> </w:t>
      </w:r>
      <w:r>
        <w:t xml:space="preserve">The Lawyer shall maintain strict confidentiality over all information received in connection with this Purchase Order, in accordance with Article 200 of the Italian Code of Criminal Procedure and the General Data Protection Regulation (EU) 2016/679 (GDPR) as implemented by Italian Legislative Decree 196/2003 (as amended by D.Lgs. 101/2018). All client data shall be processed exclusively within the European Economic Area.</w:t>
      </w:r>
    </w:p>
    <w:p>
      <w:pPr>
        <w:numPr>
          <w:ilvl w:val="0"/>
          <w:numId w:val="1001"/>
        </w:numPr>
        <w:pStyle w:val="Compact"/>
      </w:pPr>
      <w:r>
        <w:rPr>
          <w:bCs/>
          <w:b/>
        </w:rPr>
        <w:t xml:space="preserve">Payment Terms:</w:t>
      </w:r>
      <w:r>
        <w:t xml:space="preserve"> </w:t>
      </w:r>
      <w:r>
        <w:t xml:space="preserve">Payment shall be made within 30 (thirty) calendar days from the date of receipt of a valid electronic invoice (fattura elettronica) issued by the Lawyer. Payment shall be made via bank transfer (bonifico bancario) to the account designated by Studio Legale Bianchi &amp; Associati in Milan. Late payments shall accrue interest at the rate established by Article 1284 of the Italian Civil Code.</w:t>
      </w:r>
    </w:p>
    <w:p>
      <w:pPr>
        <w:numPr>
          <w:ilvl w:val="0"/>
          <w:numId w:val="1001"/>
        </w:numPr>
        <w:pStyle w:val="Compact"/>
      </w:pPr>
      <w:r>
        <w:rPr>
          <w:bCs/>
          <w:b/>
        </w:rPr>
        <w:t xml:space="preserve">Scope Limitation:</w:t>
      </w:r>
      <w:r>
        <w:t xml:space="preserve"> </w:t>
      </w:r>
      <w:r>
        <w:t xml:space="preserve">The services described in Section 3 constitute the full scope of this Purchase Order. Any additional legal services requested by the Buyer beyond the stated scope shall require a written amendment to this Purchase Order, signed by both parties, specifying additional fees and timelines.</w:t>
      </w:r>
    </w:p>
    <w:p>
      <w:pPr>
        <w:numPr>
          <w:ilvl w:val="0"/>
          <w:numId w:val="1001"/>
        </w:numPr>
        <w:pStyle w:val="Compact"/>
      </w:pPr>
      <w:r>
        <w:rPr>
          <w:bCs/>
          <w:b/>
        </w:rPr>
        <w:t xml:space="preserve">Termination:</w:t>
      </w:r>
      <w:r>
        <w:t xml:space="preserve"> </w:t>
      </w:r>
      <w:r>
        <w:t xml:space="preserve">Either party may terminate this Purchase Order with 30 (thirty) days' written notice. Upon termination, the Buyer shall pay for all services rendered up to the effective date of termination. The Lawyer shall return all client documents and materials within 15 (fifteen) days of termination.</w:t>
      </w:r>
    </w:p>
    <w:p>
      <w:pPr>
        <w:numPr>
          <w:ilvl w:val="0"/>
          <w:numId w:val="1001"/>
        </w:numPr>
        <w:pStyle w:val="Compact"/>
      </w:pPr>
      <w:r>
        <w:rPr>
          <w:bCs/>
          <w:b/>
        </w:rPr>
        <w:t xml:space="preserve">Professional Liability Insurance:</w:t>
      </w:r>
      <w:r>
        <w:t xml:space="preserve"> </w:t>
      </w:r>
      <w:r>
        <w:t xml:space="preserve">The Lawyer confirms that the firm maintains professional liability insurance (RC Professionale) with a minimum coverage of €1,000,000 per claim, as required by the Milan Bar Association. A certificate of insurance shall be provided upon request.</w:t>
      </w:r>
    </w:p>
    <w:p>
      <w:pPr>
        <w:numPr>
          <w:ilvl w:val="0"/>
          <w:numId w:val="1001"/>
        </w:numPr>
        <w:pStyle w:val="Compact"/>
      </w:pPr>
      <w:r>
        <w:rPr>
          <w:bCs/>
          <w:b/>
        </w:rPr>
        <w:t xml:space="preserve">Anti-Money Laundering:</w:t>
      </w:r>
      <w:r>
        <w:t xml:space="preserve"> </w:t>
      </w:r>
      <w:r>
        <w:t xml:space="preserve">In accordance with Italian Legislative Decree 231/2007 (as amended), the Lawyer shall perform customer due diligence (KYC) procedures on the Buyer prior to commencing services, in compliance with the regulations of the Italian Anti-Money Laundering Authority (UIF).</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actions, or public health emergencies affecting the city of Milan or the Italian Republic.</w:t>
      </w:r>
    </w:p>
    <w:p>
      <w:pPr>
        <w:numPr>
          <w:ilvl w:val="0"/>
          <w:numId w:val="1001"/>
        </w:numPr>
        <w:pStyle w:val="Compact"/>
      </w:pPr>
      <w:r>
        <w:rPr>
          <w:bCs/>
          <w:b/>
        </w:rPr>
        <w:t xml:space="preserve">Entire Agreement:</w:t>
      </w:r>
      <w:r>
        <w:t xml:space="preserve"> </w:t>
      </w:r>
      <w:r>
        <w:t xml:space="preserve">This Purchase Order, together with any written amendments, constitutes the entire agreement between the parties regarding the engagement of the Lawyer for the services described herein and supersedes all prior negotiations, representations, or agreements relating to the subject matter of this Purchase Order.</w:t>
      </w:r>
    </w:p>
    <w:p>
      <w:pPr>
        <w:pStyle w:val="FirstParagraph"/>
      </w:pPr>
      <w:r>
        <w:t xml:space="preserve">5. Acceptance and Authorization</w:t>
      </w:r>
    </w:p>
    <w:p>
      <w:pPr>
        <w:pStyle w:val="BodyText"/>
      </w:pPr>
      <w:r>
        <w:t xml:space="preserve">By signing below, both parties acknowledge and agree to all terms, conditions, and obligations set forth in this Purchase Order. The Buyer authorizes the Lawyer to commence the legal services described in Section 3 effective from the date of the last signature below. This Purchase Order is valid for execution in Milan, Italy, and all communications related to it shall be directed to the addresses specified in Section 1.</w:t>
      </w:r>
    </w:p>
    <w:p>
      <w:pPr>
        <w:pStyle w:val="BodyText"/>
      </w:pPr>
      <w:r>
        <w:rPr>
          <w:bCs/>
          <w:b/>
        </w:rPr>
        <w:t xml:space="preserve">For and on behalf of the Buyer:</w:t>
      </w:r>
      <w:r>
        <w:br/>
      </w:r>
      <w:r>
        <w:t xml:space="preserve">FinTech Solutions S.r.l.</w:t>
      </w:r>
    </w:p>
    <w:p>
      <w:pPr>
        <w:pStyle w:val="BodyText"/>
      </w:pPr>
      <w:r>
        <w:t xml:space="preserve">Dr. Alessandro Marchetti</w:t>
      </w:r>
      <w:r>
        <w:br/>
      </w:r>
      <w:r>
        <w:t xml:space="preserve">Chief Financial Officer</w:t>
      </w:r>
      <w:r>
        <w:br/>
      </w:r>
      <w:r>
        <w:t xml:space="preserve">Signature: _________________________</w:t>
      </w:r>
      <w:r>
        <w:br/>
      </w:r>
      <w:r>
        <w:t xml:space="preserve">Date: _________________________</w:t>
      </w:r>
    </w:p>
    <w:p>
      <w:pPr>
        <w:pStyle w:val="BodyText"/>
      </w:pPr>
      <w:r>
        <w:rPr>
          <w:bCs/>
          <w:b/>
        </w:rPr>
        <w:t xml:space="preserve">For and on behalf of the Lawyer:</w:t>
      </w:r>
      <w:r>
        <w:br/>
      </w:r>
      <w:r>
        <w:t xml:space="preserve">Studio Legale Bianchi &amp; Associati</w:t>
      </w:r>
    </w:p>
    <w:p>
      <w:pPr>
        <w:pStyle w:val="BodyText"/>
      </w:pPr>
      <w:r>
        <w:t xml:space="preserve">Avv. Francesca Bianchi</w:t>
      </w:r>
      <w:r>
        <w:br/>
      </w:r>
      <w:r>
        <w:t xml:space="preserve">Lead Lawyer — Albo Forense di Milano n. 12345</w:t>
      </w:r>
      <w:r>
        <w:br/>
      </w:r>
      <w:r>
        <w:t xml:space="preserve">Signature: _________________________</w:t>
      </w:r>
      <w:r>
        <w:br/>
      </w:r>
      <w:r>
        <w:t xml:space="preserve">Date: _________________________</w:t>
      </w:r>
    </w:p>
    <w:p>
      <w:pPr>
        <w:pStyle w:val="BodyText"/>
      </w:pPr>
      <w:r>
        <w:t xml:space="preserve">Purchase Order PO-MIL-2025-04872 — Issued in Milan, Italy — 14 June 2025</w:t>
      </w:r>
      <w:r>
        <w:br/>
      </w:r>
      <w:r>
        <w:t xml:space="preserve">This document is a binding commercial instrument under Italian law. All references to "Lawyer" denote a qualified legal professional registered with the Milan Bar Association. All services shall be performed in Milan, Italy, unless otherwise specified in writing.</w:t>
      </w:r>
      <w:r>
        <w:br/>
      </w:r>
      <w:r>
        <w:t xml:space="preserve">© 2025 FinTech Solutions S.r.l.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Legal Services - Milan, Italy</dc:title>
  <dc:creator/>
  <dc:language>en</dc:language>
  <cp:keywords/>
  <dcterms:created xsi:type="dcterms:W3CDTF">2026-10-10T07:33:56Z</dcterms:created>
  <dcterms:modified xsi:type="dcterms:W3CDTF">2026-10-10T07:33:56Z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