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Legal Professional Services — Kazakhstan Almaty</w:t>
      </w:r>
    </w:p>
    <w:p>
      <w:pPr>
        <w:pStyle w:val="BodyText"/>
      </w:pPr>
      <w:r>
        <w:t xml:space="preserve">Document Reference: PO-KZ-ALM-2025-0047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PO-KZ-ALM-2025-0047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Kazakhstani Tenge (KZT)</w:t>
            </w:r>
          </w:p>
        </w:tc>
      </w:tr>
      <w:tr>
        <w:tc>
          <w:tcPr/>
          <w:p>
            <w:pPr>
              <w:pStyle w:val="Compact"/>
              <w:jc w:val="left"/>
            </w:pPr>
            <w:r>
              <w:t xml:space="preserve">Issuing Entity:</w:t>
            </w:r>
          </w:p>
        </w:tc>
        <w:tc>
          <w:tcPr>
            <w:gridSpan w:val="3"/>
          </w:tcPr>
          <w:p>
            <w:pPr>
              <w:pStyle w:val="Compact"/>
              <w:jc w:val="left"/>
            </w:pPr>
            <w:r>
              <w:t xml:space="preserve">Almaty Industrial Holdings LLP, 45 Abai Avenue, Almaty, 050040, Republic of Kazakhstan</w:t>
            </w:r>
          </w:p>
        </w:tc>
      </w:tr>
      <w:tr>
        <w:tc>
          <w:tcPr/>
          <w:p>
            <w:pPr>
              <w:pStyle w:val="Compact"/>
              <w:jc w:val="left"/>
            </w:pPr>
            <w:r>
              <w:t xml:space="preserve">BIN (Tax ID):</w:t>
            </w:r>
          </w:p>
        </w:tc>
        <w:tc>
          <w:tcPr/>
          <w:p>
            <w:pPr>
              <w:pStyle w:val="Compact"/>
              <w:jc w:val="left"/>
            </w:pPr>
            <w:r>
              <w:t xml:space="preserve">990840012345</w:t>
            </w:r>
          </w:p>
        </w:tc>
        <w:tc>
          <w:tcPr/>
          <w:p>
            <w:pPr>
              <w:pStyle w:val="Compact"/>
              <w:jc w:val="left"/>
            </w:pPr>
            <w:r>
              <w:t xml:space="preserve">Contact Person:</w:t>
            </w:r>
          </w:p>
        </w:tc>
        <w:tc>
          <w:tcPr/>
          <w:p>
            <w:pPr>
              <w:pStyle w:val="Compact"/>
              <w:jc w:val="left"/>
            </w:pPr>
            <w:r>
              <w:t xml:space="preserve">D. Serikzhanov, Chief Financial Officer</w:t>
            </w:r>
          </w:p>
        </w:tc>
      </w:tr>
    </w:tbl>
    <w:p>
      <w:pPr>
        <w:pStyle w:val="BodyText"/>
      </w:pPr>
      <w:r>
        <w:t xml:space="preserve">Vendor / Service Provider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Lawyer Name:</w:t>
            </w:r>
          </w:p>
        </w:tc>
        <w:tc>
          <w:tcPr>
            <w:gridSpan w:val="3"/>
          </w:tcPr>
          <w:p>
            <w:pPr>
              <w:pStyle w:val="Compact"/>
              <w:jc w:val="left"/>
            </w:pPr>
            <w:r>
              <w:t xml:space="preserve">Advokat (Attorney) Aigerim Nurlanova, Licensed Legal Practitioner</w:t>
            </w:r>
          </w:p>
        </w:tc>
      </w:tr>
      <w:tr>
        <w:tc>
          <w:tcPr/>
          <w:p>
            <w:pPr>
              <w:pStyle w:val="Compact"/>
              <w:jc w:val="left"/>
            </w:pPr>
            <w:r>
              <w:t xml:space="preserve">Law Firm:</w:t>
            </w:r>
          </w:p>
        </w:tc>
        <w:tc>
          <w:tcPr>
            <w:gridSpan w:val="3"/>
          </w:tcPr>
          <w:p>
            <w:pPr>
              <w:pStyle w:val="Compact"/>
              <w:jc w:val="left"/>
            </w:pPr>
            <w:r>
              <w:t xml:space="preserve">Nurlanova &amp; Partners Legal Counsel, 12 Dostyk Avenue, 4th Floor, Almaty, 050000, Kazakhstan</w:t>
            </w:r>
          </w:p>
        </w:tc>
      </w:tr>
      <w:tr>
        <w:tc>
          <w:tcPr/>
          <w:p>
            <w:pPr>
              <w:pStyle w:val="Compact"/>
              <w:jc w:val="left"/>
            </w:pPr>
            <w:r>
              <w:t xml:space="preserve">Lawyer License No.:</w:t>
            </w:r>
          </w:p>
        </w:tc>
        <w:tc>
          <w:tcPr/>
          <w:p>
            <w:pPr>
              <w:pStyle w:val="Compact"/>
              <w:jc w:val="left"/>
            </w:pPr>
            <w:r>
              <w:t xml:space="preserve">ALM-2019-00847</w:t>
            </w:r>
          </w:p>
        </w:tc>
        <w:tc>
          <w:tcPr/>
          <w:p>
            <w:pPr>
              <w:pStyle w:val="Compact"/>
              <w:jc w:val="left"/>
            </w:pPr>
            <w:r>
              <w:t xml:space="preserve">Bar Registration:</w:t>
            </w:r>
          </w:p>
        </w:tc>
        <w:tc>
          <w:tcPr/>
          <w:p>
            <w:pPr>
              <w:pStyle w:val="Compact"/>
              <w:jc w:val="left"/>
            </w:pPr>
            <w:r>
              <w:t xml:space="preserve">Almaty City Bar Association</w:t>
            </w:r>
          </w:p>
        </w:tc>
      </w:tr>
      <w:tr>
        <w:tc>
          <w:tcPr/>
          <w:p>
            <w:pPr>
              <w:pStyle w:val="Compact"/>
              <w:jc w:val="left"/>
            </w:pPr>
            <w:r>
              <w:t xml:space="preserve">Specialization:</w:t>
            </w:r>
          </w:p>
        </w:tc>
        <w:tc>
          <w:tcPr>
            <w:gridSpan w:val="3"/>
          </w:tcPr>
          <w:p>
            <w:pPr>
              <w:pStyle w:val="Compact"/>
              <w:jc w:val="left"/>
            </w:pPr>
            <w:r>
              <w:t xml:space="preserve">Corporate Law, Commercial Disputes, Contract Drafting, Regulatory Compliance (Republic of Kazakhstan)</w:t>
            </w:r>
          </w:p>
        </w:tc>
      </w:tr>
      <w:tr>
        <w:tc>
          <w:tcPr/>
          <w:p>
            <w:pPr>
              <w:pStyle w:val="Compact"/>
              <w:jc w:val="left"/>
            </w:pPr>
            <w:r>
              <w:t xml:space="preserve">Contact:</w:t>
            </w:r>
          </w:p>
        </w:tc>
        <w:tc>
          <w:tcPr>
            <w:gridSpan w:val="3"/>
          </w:tcPr>
          <w:p>
            <w:pPr>
              <w:pStyle w:val="Compact"/>
              <w:jc w:val="left"/>
            </w:pPr>
            <w:r>
              <w:t xml:space="preserve">+7 (727) 312-45-67 | a.nurlanova@nurlanovapartners.kz</w:t>
            </w:r>
          </w:p>
        </w:tc>
      </w:tr>
    </w:tbl>
    <w:p>
      <w:pPr>
        <w:pStyle w:val="BodyText"/>
      </w:pPr>
      <w:r>
        <w:t xml:space="preserve">Description of Purchased Legal Services</w:t>
      </w:r>
    </w:p>
    <w:p>
      <w:pPr>
        <w:pStyle w:val="BodyText"/>
      </w:pPr>
      <w:r>
        <w:t xml:space="preserve">This Purchase Order is issued by Almaty Industrial Holdings LLP (hereinafter referred to as the "Buyer") to engage the services of the above-named Lawyer (hereinafter referred to as the "Legal Counsel") for the provision of comprehensive legal advisory and representation services within the jurisdiction of Kazakhstan Almaty. The scope of work encompasses the following specific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Full legal review and redrafting of the Master Supply Agreement with a foreign counterparty, including compliance verification under the Civil Code of the Republic of Kazakhstan and applicable Kazakhstan Almaty commercial regulations.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Representation of the Buyer before the Almaty City Economic Court in a commercial dispute (Case No. 15-4821/2025), including preparation of statements of claim, evidence submission, and attendance at all scheduled hearings.</w:t>
            </w:r>
          </w:p>
        </w:tc>
        <w:tc>
          <w:tcPr/>
          <w:p>
            <w:pPr>
              <w:pStyle w:val="Compact"/>
              <w:jc w:val="left"/>
            </w:pPr>
            <w:r>
              <w:t xml:space="preserve">60 hours</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Corporate governance advisory: restructuring of the Buyer's subsidiary registered in Almaty, preparation of shareholders' resolutions, and filing of amendments with the Almaty City Department of Justice.</w:t>
            </w:r>
          </w:p>
        </w:tc>
        <w:tc>
          <w:tcPr/>
          <w:p>
            <w:pPr>
              <w:pStyle w:val="Compact"/>
              <w:jc w:val="left"/>
            </w:pPr>
            <w:r>
              <w:t xml:space="preserve">25 hours</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4</w:t>
            </w:r>
          </w:p>
        </w:tc>
        <w:tc>
          <w:tcPr/>
          <w:p>
            <w:pPr>
              <w:pStyle w:val="Compact"/>
              <w:jc w:val="left"/>
            </w:pPr>
            <w:r>
              <w:t xml:space="preserve">Drafting and negotiation of three (3) non-disclosure agreements (NDAs) and two (2) joint-venture partnership agreements in both Kazakh and English languages, ensuring enforceability under Kazakhstan Almaty jurisdiction.</w:t>
            </w:r>
          </w:p>
        </w:tc>
        <w:tc>
          <w:tcPr/>
          <w:p>
            <w:pPr>
              <w:pStyle w:val="Compact"/>
              <w:jc w:val="left"/>
            </w:pPr>
            <w:r>
              <w:t xml:space="preserve">30 hours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Regulatory compliance audit: review of the Buyer's operations against the requirements of the Agency for Regulation and Development of Financial Markets of the Republic of Kazakhstan, with a written compliance report delivered within 15 business days.</w:t>
            </w:r>
          </w:p>
        </w:tc>
        <w:tc>
          <w:tcPr/>
          <w:p>
            <w:pPr>
              <w:pStyle w:val="Compact"/>
              <w:jc w:val="left"/>
            </w:pPr>
            <w:r>
              <w:t xml:space="preserve">20 hours</w:t>
            </w:r>
          </w:p>
        </w:tc>
        <w:tc>
          <w:tcPr/>
          <w:p>
            <w:pPr>
              <w:pStyle w:val="Compact"/>
              <w:jc w:val="left"/>
            </w:pPr>
            <w:r>
              <w:t xml:space="preserve">30,000</w:t>
            </w:r>
          </w:p>
        </w:tc>
        <w:tc>
          <w:tcPr/>
          <w:p>
            <w:pPr>
              <w:pStyle w:val="Compact"/>
              <w:jc w:val="left"/>
            </w:pPr>
            <w:r>
              <w:t xml:space="preserve">600,000</w:t>
            </w:r>
          </w:p>
        </w:tc>
      </w:tr>
      <w:tr>
        <w:tc>
          <w:tcPr>
            <w:gridSpan w:val="4"/>
          </w:tcPr>
          <w:p>
            <w:pPr>
              <w:pStyle w:val="Compact"/>
              <w:jc w:val="right"/>
            </w:pPr>
            <w:r>
              <w:t xml:space="preserve">TOTAL AMOUNT DUE:</w:t>
            </w:r>
          </w:p>
        </w:tc>
        <w:tc>
          <w:tcPr/>
          <w:p>
            <w:pPr>
              <w:pStyle w:val="Compact"/>
              <w:jc w:val="left"/>
            </w:pPr>
            <w:r>
              <w:t xml:space="preserve">4,775,000 KZT</w:t>
            </w:r>
          </w:p>
        </w:tc>
      </w:tr>
    </w:tbl>
    <w:p>
      <w:pPr>
        <w:pStyle w:val="BodyText"/>
      </w:pPr>
      <w:r>
        <w:t xml:space="preserve">Terms and Conditions</w:t>
      </w:r>
    </w:p>
    <w:p>
      <w:pPr>
        <w:numPr>
          <w:ilvl w:val="0"/>
          <w:numId w:val="1001"/>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the Republic of Kazakhstan. Any disputes arising from or in connection with this Purchase Order shall be subject to the exclusive jurisdiction of the courts of Kazakhstan Almaty, specifically the Almaty City Economic Court, unless otherwise agreed in writing by both parties.</w:t>
      </w:r>
    </w:p>
    <w:p>
      <w:pPr>
        <w:numPr>
          <w:ilvl w:val="0"/>
          <w:numId w:val="1001"/>
        </w:numPr>
        <w:pStyle w:val="Compact"/>
      </w:pPr>
      <w:r>
        <w:rPr>
          <w:bCs/>
          <w:b/>
        </w:rPr>
        <w:t xml:space="preserve">Payment Terms:</w:t>
      </w:r>
      <w:r>
        <w:t xml:space="preserve"> </w:t>
      </w:r>
      <w:r>
        <w:t xml:space="preserve">The Buyer shall remit payment in Kazakhstani Tenge (KZT) via bank transfer to the Legal Counsel's designated account. Payment shall be made in three (3) equal installments: 40% upon execution of this Purchase Order, 35% upon completion of court representation services (Item 2), and 25% upon delivery of the final compliance report (Item 5). All payments are due within ten (10) business days of invoice receipt.</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trade secrets, and business strategies disclosed by the Buyer during the course of engagement. This obligation shall survive the termination of this Purchase Order for a period of five (5) years, in compliance with the Law of the Republic of Kazakhstan "On Advocacy Activity."</w:t>
      </w:r>
    </w:p>
    <w:p>
      <w:pPr>
        <w:numPr>
          <w:ilvl w:val="0"/>
          <w:numId w:val="1001"/>
        </w:numPr>
        <w:pStyle w:val="Compact"/>
      </w:pPr>
      <w:r>
        <w:rPr>
          <w:bCs/>
          <w:b/>
        </w:rPr>
        <w:t xml:space="preserve">Professional Standards:</w:t>
      </w:r>
      <w:r>
        <w:t xml:space="preserve"> </w:t>
      </w:r>
      <w:r>
        <w:t xml:space="preserve">The Lawyer shall perform all services with the degree of skill, care, and diligence expected of a qualified legal practitioner registered with the Almaty City Bar Association. The Legal Counsel warrants that no conflict of interest exists and shall promptly disclose any potential conflict that may arise during the engagement period.</w:t>
      </w:r>
    </w:p>
    <w:p>
      <w:pPr>
        <w:numPr>
          <w:ilvl w:val="0"/>
          <w:numId w:val="1001"/>
        </w:numPr>
        <w:pStyle w:val="Compact"/>
      </w:pPr>
      <w:r>
        <w:rPr>
          <w:bCs/>
          <w:b/>
        </w:rPr>
        <w:t xml:space="preserve">Deliverables and Reporting:</w:t>
      </w:r>
      <w:r>
        <w:t xml:space="preserve"> </w:t>
      </w:r>
      <w:r>
        <w:t xml:space="preserve">The Lawyer shall provide written progress reports to the Buyer's Chief Financial Officer every ten (10) business days. All legal opinions, drafts, and court filings shall be delivered in both Kazakh and English languages unless otherwise specified in writing.</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up to the date of termination. The Legal Counsel shall return all original documents and confidential materials within five (5) business days of the termination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actions, or civil unrest affecting Kazakhstan Almaty or the broader Republic of Kazakhstan.</w:t>
      </w:r>
    </w:p>
    <w:p>
      <w:pPr>
        <w:numPr>
          <w:ilvl w:val="0"/>
          <w:numId w:val="1001"/>
        </w:numPr>
        <w:pStyle w:val="Compact"/>
      </w:pPr>
      <w:r>
        <w:rPr>
          <w:bCs/>
          <w:b/>
        </w:rPr>
        <w:t xml:space="preserve">Tax Obligations:</w:t>
      </w:r>
      <w:r>
        <w:t xml:space="preserve"> </w:t>
      </w:r>
      <w:r>
        <w:t xml:space="preserve">All applicable taxes, including Value Added Tax (VAT) at the rate prescribed by the Tax Code of the Republic of Kazakhstan, shall be borne as per the statutory allocation. The Legal Counsel shall issue a proper invoice (schet-faktura) for each payment installment.</w:t>
      </w:r>
    </w:p>
    <w:p>
      <w:pPr>
        <w:pStyle w:val="FirstParagraph"/>
      </w:pPr>
      <w:r>
        <w:t xml:space="preserve">Acceptance and Authorization</w:t>
      </w:r>
    </w:p>
    <w:p>
      <w:pPr>
        <w:pStyle w:val="BodyText"/>
      </w:pPr>
      <w:r>
        <w:t xml:space="preserve">By signing below, both parties acknowledge that this Purchase Order constitutes a binding agreement for the procurement of legal services. The Buyer authorizes the expenditure of funds as specified herein, and the Lawyer confirms acceptance of the scope of work, rates, and terms set forth in this document.</w:t>
      </w:r>
    </w:p>
    <w:p>
      <w:pPr>
        <w:pStyle w:val="BodyText"/>
      </w:pPr>
      <w:r>
        <w:rPr>
          <w:bCs/>
          <w:b/>
        </w:rPr>
        <w:t xml:space="preserve">For the Buyer:</w:t>
      </w:r>
      <w:r>
        <w:br/>
      </w:r>
      <w:r>
        <w:t xml:space="preserve">Almaty Industrial Holdings LLP</w:t>
      </w:r>
      <w:r>
        <w:br/>
      </w:r>
      <w:r>
        <w:t xml:space="preserve">Name: D. Serikzhanov</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the Legal Counsel (Lawyer):</w:t>
      </w:r>
      <w:r>
        <w:br/>
      </w:r>
      <w:r>
        <w:t xml:space="preserve">Nurlanova &amp; Partners Legal Counsel</w:t>
      </w:r>
      <w:r>
        <w:br/>
      </w:r>
      <w:r>
        <w:t xml:space="preserve">Name: Aigerim Nurlanova</w:t>
      </w:r>
      <w:r>
        <w:br/>
      </w:r>
      <w:r>
        <w:t xml:space="preserve">Title: Lead Attorney / Lawyer</w:t>
      </w:r>
      <w:r>
        <w:br/>
      </w:r>
      <w:r>
        <w:t xml:space="preserve">Signature: _________________________</w:t>
      </w:r>
      <w:r>
        <w:br/>
      </w:r>
      <w:r>
        <w:t xml:space="preserve">Date: _________________________</w:t>
      </w:r>
    </w:p>
    <w:p>
      <w:pPr>
        <w:pStyle w:val="BodyText"/>
      </w:pPr>
      <w:r>
        <w:t xml:space="preserve">[Company Seal / Stamp of Almaty Industrial Holdings LLP to be affixed here]</w:t>
      </w:r>
      <w:r>
        <w:br/>
      </w:r>
      <w:r>
        <w:t xml:space="preserve">[Lawyer's Personal Seal to be affixed here]</w:t>
      </w:r>
    </w:p>
    <w:p>
      <w:pPr>
        <w:pStyle w:val="BodyText"/>
      </w:pPr>
      <w:r>
        <w:rPr>
          <w:bCs/>
          <w:b/>
        </w:rPr>
        <w:t xml:space="preserve">Important Notice:</w:t>
      </w:r>
      <w:r>
        <w:t xml:space="preserve"> </w:t>
      </w:r>
      <w:r>
        <w:t xml:space="preserve">This Purchase Order is issued in accordance with the internal procurement policies of Almaty Industrial Holdings LLP and the regulatory framework governing legal services in Kazakhstan Almaty. This document is valid only when signed by both authorized representatives and sealed with the official company stamp. Any amendments to this Purchase Order must be made in writing and signed by both parties. The original of this document is to be retained by the Buyer's legal department, and a certified copy shall be provided to the Lawyer for the engagement 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Kazakhstan Almaty</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