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FOR LEGAL SERVICES – ENGAGEMENT OF A LAWYER</w:t>
      </w:r>
    </w:p>
    <w:p>
      <w:pPr>
        <w:pStyle w:val="BodyText"/>
      </w:pPr>
      <w:r>
        <w:t xml:space="preserve">Issued in Kenya Nairobi, Republic of Kenya</w:t>
      </w:r>
    </w:p>
    <w:p>
      <w:pPr>
        <w:pStyle w:val="BodyText"/>
      </w:pPr>
      <w:r>
        <w:t xml:space="preserve">Governed by the Laws of the Republic of Kenya</w:t>
      </w:r>
    </w:p>
    <w:bookmarkEnd w:id="20"/>
    <w:bookmarkStart w:id="21" w:name="purchaser-buyer"/>
    <w:p>
      <w:pPr>
        <w:pStyle w:val="Heading3"/>
      </w:pPr>
      <w:r>
        <w:t xml:space="preserve">Purchaser (Buyer)</w:t>
      </w:r>
    </w:p>
    <w:p>
      <w:pPr>
        <w:pStyle w:val="FirstParagraph"/>
      </w:pPr>
      <w:r>
        <w:rPr>
          <w:bCs/>
          <w:b/>
        </w:rPr>
        <w:t xml:space="preserve">Company Name:</w:t>
      </w:r>
      <w:r>
        <w:t xml:space="preserve"> </w:t>
      </w:r>
      <w:r>
        <w:t xml:space="preserve">East African Commercial Holdings Ltd.</w:t>
      </w:r>
    </w:p>
    <w:p>
      <w:pPr>
        <w:pStyle w:val="BodyText"/>
      </w:pPr>
      <w:r>
        <w:rPr>
          <w:bCs/>
          <w:b/>
        </w:rPr>
        <w:t xml:space="preserve">Physical Address:</w:t>
      </w:r>
      <w:r>
        <w:t xml:space="preserve"> </w:t>
      </w:r>
      <w:r>
        <w:t xml:space="preserve">4th Floor, Kenyatta Avenue, Westlands, Nairobi, Kenya</w:t>
      </w:r>
    </w:p>
    <w:p>
      <w:pPr>
        <w:pStyle w:val="BodyText"/>
      </w:pPr>
      <w:r>
        <w:rPr>
          <w:bCs/>
          <w:b/>
        </w:rPr>
        <w:t xml:space="preserve">P.O. Box:</w:t>
      </w:r>
      <w:r>
        <w:t xml:space="preserve"> </w:t>
      </w:r>
      <w:r>
        <w:t xml:space="preserve">P.O. Box 12345-00100, Nairobi, Kenya</w:t>
      </w:r>
    </w:p>
    <w:p>
      <w:pPr>
        <w:pStyle w:val="BodyText"/>
      </w:pPr>
      <w:r>
        <w:rPr>
          <w:bCs/>
          <w:b/>
        </w:rPr>
        <w:t xml:space="preserve">Phone:</w:t>
      </w:r>
      <w:r>
        <w:t xml:space="preserve"> </w:t>
      </w:r>
      <w:r>
        <w:t xml:space="preserve">+254 700 123 456</w:t>
      </w:r>
    </w:p>
    <w:p>
      <w:pPr>
        <w:pStyle w:val="BodyText"/>
      </w:pPr>
      <w:r>
        <w:rPr>
          <w:bCs/>
          <w:b/>
        </w:rPr>
        <w:t xml:space="preserve">Email:</w:t>
      </w:r>
      <w:r>
        <w:t xml:space="preserve"> </w:t>
      </w:r>
      <w:r>
        <w:t xml:space="preserve">procurement@eaccommercial.co.ke</w:t>
      </w:r>
    </w:p>
    <w:p>
      <w:pPr>
        <w:pStyle w:val="BodyText"/>
      </w:pPr>
      <w:r>
        <w:rPr>
          <w:bCs/>
          <w:b/>
        </w:rPr>
        <w:t xml:space="preserve">KRA PIN:</w:t>
      </w:r>
      <w:r>
        <w:t xml:space="preserve"> </w:t>
      </w:r>
      <w:r>
        <w:t xml:space="preserve">P051234567X</w:t>
      </w:r>
    </w:p>
    <w:p>
      <w:pPr>
        <w:pStyle w:val="BodyText"/>
      </w:pPr>
      <w:r>
        <w:rPr>
          <w:bCs/>
          <w:b/>
        </w:rPr>
        <w:t xml:space="preserve">Company Reg. No.:</w:t>
      </w:r>
      <w:r>
        <w:t xml:space="preserve"> </w:t>
      </w:r>
      <w:r>
        <w:t xml:space="preserve">112345-2019</w:t>
      </w:r>
    </w:p>
    <w:bookmarkEnd w:id="21"/>
    <w:bookmarkStart w:id="22" w:name="supplier-lawyer-legal-practitioner"/>
    <w:p>
      <w:pPr>
        <w:pStyle w:val="Heading3"/>
      </w:pPr>
      <w:r>
        <w:t xml:space="preserve">Supplier (Lawyer / Legal Practitioner)</w:t>
      </w:r>
    </w:p>
    <w:p>
      <w:pPr>
        <w:pStyle w:val="FirstParagraph"/>
      </w:pPr>
      <w:r>
        <w:rPr>
          <w:bCs/>
          <w:b/>
        </w:rPr>
        <w:t xml:space="preserve">Lawyer Name:</w:t>
      </w:r>
      <w:r>
        <w:t xml:space="preserve"> </w:t>
      </w:r>
      <w:r>
        <w:t xml:space="preserve">Advocate Wanjiku M. Kamau</w:t>
      </w:r>
    </w:p>
    <w:p>
      <w:pPr>
        <w:pStyle w:val="BodyText"/>
      </w:pPr>
      <w:r>
        <w:rPr>
          <w:bCs/>
          <w:b/>
        </w:rPr>
        <w:t xml:space="preserve">Firm:</w:t>
      </w:r>
      <w:r>
        <w:t xml:space="preserve"> </w:t>
      </w:r>
      <w:r>
        <w:t xml:space="preserve">Kamau &amp; Associates Advocates</w:t>
      </w:r>
    </w:p>
    <w:p>
      <w:pPr>
        <w:pStyle w:val="BodyText"/>
      </w:pPr>
      <w:r>
        <w:rPr>
          <w:bCs/>
          <w:b/>
        </w:rPr>
        <w:t xml:space="preserve">Physical Address:</w:t>
      </w:r>
      <w:r>
        <w:t xml:space="preserve"> </w:t>
      </w:r>
      <w:r>
        <w:t xml:space="preserve">2nd Floor, Alliance Bank House, Moi Avenue, Nairobi, Kenya</w:t>
      </w:r>
    </w:p>
    <w:p>
      <w:pPr>
        <w:pStyle w:val="BodyText"/>
      </w:pPr>
      <w:r>
        <w:rPr>
          <w:bCs/>
          <w:b/>
        </w:rPr>
        <w:t xml:space="preserve">P.O. Box:</w:t>
      </w:r>
      <w:r>
        <w:t xml:space="preserve"> </w:t>
      </w:r>
      <w:r>
        <w:t xml:space="preserve">P.O. Box 67890-00100, Nairobi, Kenya</w:t>
      </w:r>
    </w:p>
    <w:p>
      <w:pPr>
        <w:pStyle w:val="BodyText"/>
      </w:pPr>
      <w:r>
        <w:rPr>
          <w:bCs/>
          <w:b/>
        </w:rPr>
        <w:t xml:space="preserve">Phone:</w:t>
      </w:r>
      <w:r>
        <w:t xml:space="preserve"> </w:t>
      </w:r>
      <w:r>
        <w:t xml:space="preserve">+254 722 987 654</w:t>
      </w:r>
    </w:p>
    <w:p>
      <w:pPr>
        <w:pStyle w:val="BodyText"/>
      </w:pPr>
      <w:r>
        <w:rPr>
          <w:bCs/>
          <w:b/>
        </w:rPr>
        <w:t xml:space="preserve">Email:</w:t>
      </w:r>
      <w:r>
        <w:t xml:space="preserve"> </w:t>
      </w:r>
      <w:r>
        <w:t xml:space="preserve">w.kamau@kamauadvocates.co.ke</w:t>
      </w:r>
    </w:p>
    <w:p>
      <w:pPr>
        <w:pStyle w:val="BodyText"/>
      </w:pPr>
      <w:r>
        <w:rPr>
          <w:bCs/>
          <w:b/>
        </w:rPr>
        <w:t xml:space="preserve">Adv. Roll No.:</w:t>
      </w:r>
      <w:r>
        <w:t xml:space="preserve"> </w:t>
      </w:r>
      <w:r>
        <w:t xml:space="preserve">A/1234/2015</w:t>
      </w:r>
    </w:p>
    <w:p>
      <w:pPr>
        <w:pStyle w:val="BodyText"/>
      </w:pPr>
      <w:r>
        <w:rPr>
          <w:bCs/>
          <w:b/>
        </w:rPr>
        <w:t xml:space="preserve">ICAK Reg. No.:</w:t>
      </w:r>
      <w:r>
        <w:t xml:space="preserve"> </w:t>
      </w:r>
      <w:r>
        <w:t xml:space="preserve">45678</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PO-EACH-2025-00472</w:t>
            </w:r>
          </w:p>
        </w:tc>
      </w:tr>
      <w:tr>
        <w:tc>
          <w:tcPr/>
          <w:p>
            <w:pPr>
              <w:pStyle w:val="Compact"/>
              <w:jc w:val="left"/>
            </w:pPr>
            <w:r>
              <w:t xml:space="preserve">Date of Issue:</w:t>
            </w:r>
          </w:p>
        </w:tc>
        <w:tc>
          <w:tcPr/>
          <w:p>
            <w:pPr>
              <w:pStyle w:val="Compact"/>
              <w:jc w:val="left"/>
            </w:pPr>
            <w:r>
              <w:t xml:space="preserve">15th June 2025</w:t>
            </w:r>
          </w:p>
        </w:tc>
      </w:tr>
      <w:tr>
        <w:tc>
          <w:tcPr/>
          <w:p>
            <w:pPr>
              <w:pStyle w:val="Compact"/>
              <w:jc w:val="left"/>
            </w:pPr>
            <w:r>
              <w:t xml:space="preserve">Delivery / Commencement Date:</w:t>
            </w:r>
          </w:p>
        </w:tc>
        <w:tc>
          <w:tcPr/>
          <w:p>
            <w:pPr>
              <w:pStyle w:val="Compact"/>
              <w:jc w:val="left"/>
            </w:pPr>
            <w:r>
              <w:t xml:space="preserve">22nd June 2025</w:t>
            </w:r>
          </w:p>
        </w:tc>
      </w:tr>
      <w:tr>
        <w:tc>
          <w:tcPr/>
          <w:p>
            <w:pPr>
              <w:pStyle w:val="Compact"/>
              <w:jc w:val="left"/>
            </w:pPr>
            <w:r>
              <w:t xml:space="preserve">Place of Performance:</w:t>
            </w:r>
          </w:p>
        </w:tc>
        <w:tc>
          <w:tcPr/>
          <w:p>
            <w:pPr>
              <w:pStyle w:val="Compact"/>
              <w:jc w:val="left"/>
            </w:pPr>
            <w:r>
              <w:t xml:space="preserve">Nairobi, Kenya (High Court of Kenya, Nairobi Law Society, and client offices in Westlands, Nairobi)</w:t>
            </w:r>
          </w:p>
        </w:tc>
      </w:tr>
      <w:tr>
        <w:tc>
          <w:tcPr/>
          <w:p>
            <w:pPr>
              <w:pStyle w:val="Compact"/>
              <w:jc w:val="left"/>
            </w:pPr>
            <w:r>
              <w:t xml:space="preserve">Currency:</w:t>
            </w:r>
          </w:p>
        </w:tc>
        <w:tc>
          <w:tcPr/>
          <w:p>
            <w:pPr>
              <w:pStyle w:val="Compact"/>
              <w:jc w:val="left"/>
            </w:pPr>
            <w:r>
              <w:t xml:space="preserve">Kenyan Shillings (KES)</w:t>
            </w:r>
          </w:p>
        </w:tc>
      </w:tr>
      <w:tr>
        <w:tc>
          <w:tcPr/>
          <w:p>
            <w:pPr>
              <w:pStyle w:val="Compact"/>
              <w:jc w:val="left"/>
            </w:pPr>
            <w:r>
              <w:t xml:space="preserve">Payment Terms:</w:t>
            </w:r>
          </w:p>
        </w:tc>
        <w:tc>
          <w:tcPr/>
          <w:p>
            <w:pPr>
              <w:pStyle w:val="Compact"/>
              <w:jc w:val="left"/>
            </w:pPr>
            <w:r>
              <w:t xml:space="preserve">50% upon execution of engagement letter; 50% upon completion of legal services</w:t>
            </w:r>
          </w:p>
        </w:tc>
      </w:tr>
      <w:tr>
        <w:tc>
          <w:tcPr/>
          <w:p>
            <w:pPr>
              <w:pStyle w:val="Compact"/>
              <w:jc w:val="left"/>
            </w:pPr>
            <w:r>
              <w:t xml:space="preserve">Validity of This Purchase Order:</w:t>
            </w:r>
          </w:p>
        </w:tc>
        <w:tc>
          <w:tcPr/>
          <w:p>
            <w:pPr>
              <w:pStyle w:val="Compact"/>
              <w:jc w:val="left"/>
            </w:pPr>
            <w:r>
              <w:t xml:space="preserve">30 days from date of issue</w:t>
            </w:r>
          </w:p>
        </w:tc>
      </w:tr>
    </w:tbl>
    <w:p>
      <w:pPr>
        <w:pStyle w:val="BodyText"/>
      </w:pPr>
      <w:r>
        <w:t xml:space="preserve">1. Description of Legal Services Procured</w:t>
      </w:r>
    </w:p>
    <w:p>
      <w:pPr>
        <w:pStyle w:val="BodyText"/>
      </w:pPr>
      <w:r>
        <w:t xml:space="preserve">This Purchase Order is issued by East African Commercial Holdings Ltd. (hereinafter referred to as the "Purchaser") to engage the services of Advocate Wanjiku M. Kamau of Kamau &amp; Associates Advocates (hereinafter referred to as the "Lawyer") for the provision of comprehensive legal services in Nairobi, Kenya. The Lawyer shall act as the Purchaser's retained legal counsel for the matters described below, in full compliance with the Advocates Act (Cap 27) of the Laws of Kenya, the Legal Profession and Advocates Act (2012), and the rules of the Law Society of Kenya.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Legal Service</w:t>
            </w:r>
          </w:p>
        </w:tc>
        <w:tc>
          <w:tcPr/>
          <w:p>
            <w:pPr>
              <w:pStyle w:val="Compact"/>
              <w:jc w:val="left"/>
            </w:pPr>
            <w:r>
              <w:t xml:space="preserve">Duration</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t xml:space="preserve">Corporate legal advisory and compliance review for the Purchaser's operations in Nairobi, Kenya, including review of contracts, shareholder agreements, and regulatory filings with the Companies Registration Office (CRO) in Nairobi.</w:t>
            </w:r>
          </w:p>
        </w:tc>
        <w:tc>
          <w:tcPr/>
          <w:p>
            <w:pPr>
              <w:pStyle w:val="Compact"/>
              <w:jc w:val="left"/>
            </w:pPr>
            <w:r>
              <w:t xml:space="preserve">3 months</w:t>
            </w:r>
          </w:p>
        </w:tc>
        <w:tc>
          <w:tcPr/>
          <w:p>
            <w:pPr>
              <w:pStyle w:val="Compact"/>
              <w:jc w:val="left"/>
            </w:pPr>
            <w:r>
              <w:t xml:space="preserve">85,000 / month</w:t>
            </w:r>
          </w:p>
        </w:tc>
        <w:tc>
          <w:tcPr/>
          <w:p>
            <w:pPr>
              <w:pStyle w:val="Compact"/>
              <w:jc w:val="left"/>
            </w:pPr>
            <w:r>
              <w:t xml:space="preserve">255,000</w:t>
            </w:r>
          </w:p>
        </w:tc>
      </w:tr>
      <w:tr>
        <w:tc>
          <w:tcPr/>
          <w:p>
            <w:pPr>
              <w:pStyle w:val="Compact"/>
              <w:jc w:val="left"/>
            </w:pPr>
            <w:r>
              <w:t xml:space="preserve">2</w:t>
            </w:r>
          </w:p>
        </w:tc>
        <w:tc>
          <w:tcPr/>
          <w:p>
            <w:pPr>
              <w:pStyle w:val="Compact"/>
              <w:jc w:val="left"/>
            </w:pPr>
            <w:r>
              <w:t xml:space="preserve">Representation and advocacy before the High Court of Kenya, Nairobi, in pending commercial dispute matter (Civil Suit No. 234/2025), including filing of pleadings, attendance at hearings, and preparation of legal briefs.</w:t>
            </w:r>
          </w:p>
        </w:tc>
        <w:tc>
          <w:tcPr/>
          <w:p>
            <w:pPr>
              <w:pStyle w:val="Compact"/>
              <w:jc w:val="left"/>
            </w:pPr>
            <w:r>
              <w:t xml:space="preserve">6 months</w:t>
            </w:r>
          </w:p>
        </w:tc>
        <w:tc>
          <w:tcPr/>
          <w:p>
            <w:pPr>
              <w:pStyle w:val="Compact"/>
              <w:jc w:val="left"/>
            </w:pPr>
            <w:r>
              <w:t xml:space="preserve">150,000 / month</w:t>
            </w:r>
          </w:p>
        </w:tc>
        <w:tc>
          <w:tcPr/>
          <w:p>
            <w:pPr>
              <w:pStyle w:val="Compact"/>
              <w:jc w:val="left"/>
            </w:pPr>
            <w:r>
              <w:t xml:space="preserve">900,000</w:t>
            </w:r>
          </w:p>
        </w:tc>
      </w:tr>
      <w:tr>
        <w:tc>
          <w:tcPr/>
          <w:p>
            <w:pPr>
              <w:pStyle w:val="Compact"/>
              <w:jc w:val="left"/>
            </w:pPr>
            <w:r>
              <w:t xml:space="preserve">3</w:t>
            </w:r>
          </w:p>
        </w:tc>
        <w:tc>
          <w:tcPr/>
          <w:p>
            <w:pPr>
              <w:pStyle w:val="Compact"/>
              <w:jc w:val="left"/>
            </w:pPr>
            <w:r>
              <w:t xml:space="preserve">Drafting and negotiation of a commercial lease agreement for office premises located in Upper Hill, Nairobi, Kenya, including due diligence on title at the Nairobi Lands Registry.</w:t>
            </w:r>
          </w:p>
        </w:tc>
        <w:tc>
          <w:tcPr/>
          <w:p>
            <w:pPr>
              <w:pStyle w:val="Compact"/>
              <w:jc w:val="left"/>
            </w:pPr>
            <w:r>
              <w:t xml:space="preserve">1 month</w:t>
            </w:r>
          </w:p>
        </w:tc>
        <w:tc>
          <w:tcPr/>
          <w:p>
            <w:pPr>
              <w:pStyle w:val="Compact"/>
              <w:jc w:val="left"/>
            </w:pPr>
            <w:r>
              <w:t xml:space="preserve">120,000 (lump sum)</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Employment law compliance audit covering all staff of the Purchaser in Nairobi, in accordance with the Employment Act (2007) of Kenya, including drafting of employment contracts and policies.</w:t>
            </w:r>
          </w:p>
        </w:tc>
        <w:tc>
          <w:tcPr/>
          <w:p>
            <w:pPr>
              <w:pStyle w:val="Compact"/>
              <w:jc w:val="left"/>
            </w:pPr>
            <w:r>
              <w:t xml:space="preserve">2 months</w:t>
            </w:r>
          </w:p>
        </w:tc>
        <w:tc>
          <w:tcPr/>
          <w:p>
            <w:pPr>
              <w:pStyle w:val="Compact"/>
              <w:jc w:val="left"/>
            </w:pPr>
            <w:r>
              <w:t xml:space="preserve">75,000 / month</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Intellectual property registration and protection services, including trademark registration with the Kenya Industrial Property Institute (KIPI) in Nairobi and filing of patent applications.</w:t>
            </w:r>
          </w:p>
        </w:tc>
        <w:tc>
          <w:tcPr/>
          <w:p>
            <w:pPr>
              <w:pStyle w:val="Compact"/>
              <w:jc w:val="left"/>
            </w:pPr>
            <w:r>
              <w:t xml:space="preserve">1 month</w:t>
            </w:r>
          </w:p>
        </w:tc>
        <w:tc>
          <w:tcPr/>
          <w:p>
            <w:pPr>
              <w:pStyle w:val="Compact"/>
              <w:jc w:val="left"/>
            </w:pPr>
            <w:r>
              <w:t xml:space="preserve">95,000 (lump sum)</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General legal counsel and on-call advisory services for the Purchaser's management team in Nairobi, Kenya, available on a 24/7 basis for urgent legal matters.</w:t>
            </w:r>
          </w:p>
        </w:tc>
        <w:tc>
          <w:tcPr/>
          <w:p>
            <w:pPr>
              <w:pStyle w:val="Compact"/>
              <w:jc w:val="left"/>
            </w:pPr>
            <w:r>
              <w:t xml:space="preserve">12 months</w:t>
            </w:r>
          </w:p>
        </w:tc>
        <w:tc>
          <w:tcPr/>
          <w:p>
            <w:pPr>
              <w:pStyle w:val="Compact"/>
              <w:jc w:val="left"/>
            </w:pPr>
            <w:r>
              <w:t xml:space="preserve">40,000 / month</w:t>
            </w:r>
          </w:p>
        </w:tc>
        <w:tc>
          <w:tcPr/>
          <w:p>
            <w:pPr>
              <w:pStyle w:val="Compact"/>
              <w:jc w:val="left"/>
            </w:pPr>
            <w:r>
              <w:t xml:space="preserve">480,000</w:t>
            </w:r>
          </w:p>
        </w:tc>
      </w:tr>
      <w:tr>
        <w:tc>
          <w:tcPr>
            <w:gridSpan w:val="4"/>
          </w:tcPr>
          <w:p>
            <w:pPr>
              <w:pStyle w:val="Compact"/>
              <w:jc w:val="right"/>
            </w:pPr>
            <w:r>
              <w:t xml:space="preserve">TOTAL AMOUNT (KES):</w:t>
            </w:r>
          </w:p>
        </w:tc>
        <w:tc>
          <w:tcPr/>
          <w:p>
            <w:pPr>
              <w:pStyle w:val="Compact"/>
              <w:jc w:val="left"/>
            </w:pPr>
            <w:r>
              <w:rPr>
                <w:bCs/>
                <w:b/>
              </w:rPr>
              <w:t xml:space="preserve">2,000,000.00</w:t>
            </w:r>
          </w:p>
        </w:tc>
      </w:tr>
      <w:tr>
        <w:tc>
          <w:tcPr>
            <w:gridSpan w:val="4"/>
          </w:tcPr>
          <w:p>
            <w:pPr>
              <w:pStyle w:val="Compact"/>
              <w:jc w:val="right"/>
            </w:pPr>
            <w:r>
              <w:t xml:space="preserve">VAT @ 16% (KES):</w:t>
            </w:r>
          </w:p>
        </w:tc>
        <w:tc>
          <w:tcPr/>
          <w:p>
            <w:pPr>
              <w:pStyle w:val="Compact"/>
              <w:jc w:val="left"/>
            </w:pPr>
            <w:r>
              <w:rPr>
                <w:bCs/>
                <w:b/>
              </w:rPr>
              <w:t xml:space="preserve">320,000.00</w:t>
            </w:r>
          </w:p>
        </w:tc>
      </w:tr>
      <w:tr>
        <w:tc>
          <w:tcPr>
            <w:gridSpan w:val="4"/>
          </w:tcPr>
          <w:p>
            <w:pPr>
              <w:pStyle w:val="Compact"/>
              <w:jc w:val="right"/>
            </w:pPr>
            <w:r>
              <w:t xml:space="preserve">GRAND TOTAL (KES):</w:t>
            </w:r>
          </w:p>
        </w:tc>
        <w:tc>
          <w:tcPr/>
          <w:p>
            <w:pPr>
              <w:pStyle w:val="Compact"/>
              <w:jc w:val="left"/>
            </w:pPr>
            <w:r>
              <w:rPr>
                <w:bCs/>
                <w:b/>
              </w:rPr>
              <w:t xml:space="preserve">2,320,000.00</w:t>
            </w:r>
          </w:p>
        </w:tc>
      </w:tr>
    </w:tbl>
    <w:p>
      <w:pPr>
        <w:pStyle w:val="BodyText"/>
      </w:pPr>
      <w:r>
        <w:t xml:space="preserve">2. Terms and Conditions</w:t>
      </w:r>
    </w:p>
    <w:p>
      <w:pPr>
        <w:numPr>
          <w:ilvl w:val="0"/>
          <w:numId w:val="1001"/>
        </w:numPr>
        <w:pStyle w:val="Compact"/>
      </w:pPr>
      <w:r>
        <w:rPr>
          <w:bCs/>
          <w:b/>
        </w:rPr>
        <w:t xml:space="preserve">Governing Law:</w:t>
      </w:r>
      <w:r>
        <w:t xml:space="preserve"> </w:t>
      </w:r>
      <w:r>
        <w:t xml:space="preserve">This Purchase Order and the engagement of the Lawyer shall be governed by and construed in accordance with the laws of the Republic of Kenya, including the Advocates Act (Cap 27), the Legal Profession and Advocates Act (2012), the Contracts Act (Cap 23), and the Consumer Protection Act (2012). Any disputes arising from this Purchase Order shall be subject to the exclusive jurisdiction of the courts in Nairobi, Kenya.</w:t>
      </w:r>
    </w:p>
    <w:p>
      <w:pPr>
        <w:numPr>
          <w:ilvl w:val="0"/>
          <w:numId w:val="1001"/>
        </w:numPr>
        <w:pStyle w:val="Compact"/>
      </w:pPr>
      <w:r>
        <w:rPr>
          <w:bCs/>
          <w:b/>
        </w:rPr>
        <w:t xml:space="preserve">Professional Conduct:</w:t>
      </w:r>
      <w:r>
        <w:t xml:space="preserve"> </w:t>
      </w:r>
      <w:r>
        <w:t xml:space="preserve">The Lawyer shall at all times adhere to the Code of Professional Conduct for Advocates as prescribed by the Law Society of Kenya and the Judicial Service Commission of Kenya. The Lawyer warrants that they are duly enrolled on the Roll of Advocates of the High Court of Kenya and hold a valid practising certificate for the current year.</w:t>
      </w:r>
    </w:p>
    <w:p>
      <w:pPr>
        <w:numPr>
          <w:ilvl w:val="0"/>
          <w:numId w:val="1001"/>
        </w:numPr>
        <w:pStyle w:val="Compact"/>
      </w:pPr>
      <w:r>
        <w:rPr>
          <w:bCs/>
          <w:b/>
        </w:rPr>
        <w:t xml:space="preserve">Confidentiality:</w:t>
      </w:r>
      <w:r>
        <w:t xml:space="preserve"> </w:t>
      </w:r>
      <w:r>
        <w:t xml:space="preserve">The Lawyer shall maintain strict confidentiality regarding all information, documents, and matters disclosed by the Purchaser in connection with this Purchase Order. This obligation shall survive the termination of the engagement for a period of five (5) years, in compliance with the Data Protection Act (2019) of Kenya.</w:t>
      </w:r>
    </w:p>
    <w:p>
      <w:pPr>
        <w:numPr>
          <w:ilvl w:val="0"/>
          <w:numId w:val="1001"/>
        </w:numPr>
        <w:pStyle w:val="Compact"/>
      </w:pPr>
      <w:r>
        <w:rPr>
          <w:bCs/>
          <w:b/>
        </w:rPr>
        <w:t xml:space="preserve">Payment Schedule:</w:t>
      </w:r>
      <w:r>
        <w:t xml:space="preserve"> </w:t>
      </w:r>
      <w:r>
        <w:t xml:space="preserve">The Purchaser shall remit fifty percent (50%) of the total fee upon execution of the engagement letter and receipt of a valid tax invoice from the Lawyer. The remaining fifty percent (50%) shall be payable within fourteen (14) days of the completion of all legal services outlined in this Purchase Order. All payments shall be made via bank transfer to the Lawyer's designated account in Nairobi, Kenya.</w:t>
      </w:r>
    </w:p>
    <w:p>
      <w:pPr>
        <w:numPr>
          <w:ilvl w:val="0"/>
          <w:numId w:val="1001"/>
        </w:numPr>
        <w:pStyle w:val="Compact"/>
      </w:pPr>
      <w:r>
        <w:rPr>
          <w:bCs/>
          <w:b/>
        </w:rPr>
        <w:t xml:space="preserve">Disbursements and Court Fees:</w:t>
      </w:r>
      <w:r>
        <w:t xml:space="preserve"> </w:t>
      </w:r>
      <w:r>
        <w:t xml:space="preserve">All court filing fees, stamp duties, registry fees, and other out-of-pocket disbursements incurred in Nairobi, Kenya, in the course of performing the services under this Purchase Order shall be borne by the Purchaser and shall be reimbursed upon presentation of official receipts from the relevant Kenyan government offices.</w:t>
      </w:r>
    </w:p>
    <w:p>
      <w:pPr>
        <w:numPr>
          <w:ilvl w:val="0"/>
          <w:numId w:val="1001"/>
        </w:numPr>
        <w:pStyle w:val="Compact"/>
      </w:pPr>
      <w:r>
        <w:rPr>
          <w:bCs/>
          <w:b/>
        </w:rPr>
        <w:t xml:space="preserve">Termination:</w:t>
      </w:r>
      <w:r>
        <w:t xml:space="preserve"> </w:t>
      </w:r>
      <w:r>
        <w:t xml:space="preserve">Either party may terminate this Purchase Order by giving thirty (30) days' written notice to the other party. In the event of termination, the Lawyer shall be entitled to payment for all services rendered up to the date of termination, and shall return all documents and files belonging to the Purchaser within seven (7) days.</w:t>
      </w:r>
    </w:p>
    <w:p>
      <w:pPr>
        <w:numPr>
          <w:ilvl w:val="0"/>
          <w:numId w:val="1001"/>
        </w:numPr>
        <w:pStyle w:val="Compact"/>
      </w:pPr>
      <w:r>
        <w:rPr>
          <w:bCs/>
          <w:b/>
        </w:rPr>
        <w:t xml:space="preserve">Conflict of Interest:</w:t>
      </w:r>
      <w:r>
        <w:t xml:space="preserve"> </w:t>
      </w:r>
      <w:r>
        <w:t xml:space="preserve">The Lawyer warrants that there is no conflict of interest in undertaking the services described in this Purchase Order. The Lawyer shall immediately notify the Purchaser in writing should any potential conflict of interest arise during the engagement.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their reasonable control, including but not limited to acts of God, government actions in Kenya, strikes, or pandemics, provided that the affected party gives prompt written notice to the other party.</w:t>
      </w:r>
    </w:p>
    <w:p>
      <w:pPr>
        <w:numPr>
          <w:ilvl w:val="0"/>
          <w:numId w:val="1001"/>
        </w:numPr>
        <w:pStyle w:val="Compact"/>
      </w:pPr>
      <w:r>
        <w:rPr>
          <w:bCs/>
          <w:b/>
        </w:rPr>
        <w:t xml:space="preserve">Compliance with Kenyan Regulations:</w:t>
      </w:r>
      <w:r>
        <w:t xml:space="preserve"> </w:t>
      </w:r>
      <w:r>
        <w:t xml:space="preserve">The Lawyer shall ensure that all legal services rendered under this Purchase Order comply with the regulations of the Law Society of Kenya, the Judicial Service Commission, the Kenya Revenue Authority (KRA), and all applicable statutory requirements in Nairobi, Kenya.</w:t>
      </w:r>
    </w:p>
    <w:p>
      <w:pPr>
        <w:numPr>
          <w:ilvl w:val="0"/>
          <w:numId w:val="1001"/>
        </w:numPr>
        <w:pStyle w:val="Compact"/>
      </w:pPr>
      <w:r>
        <w:rPr>
          <w:bCs/>
          <w:b/>
        </w:rPr>
        <w:t xml:space="preserve">Notices:</w:t>
      </w:r>
      <w:r>
        <w:t xml:space="preserve"> </w:t>
      </w:r>
      <w:r>
        <w:t xml:space="preserve">All notices under this Purchase Order shall be in writing and delivered to the addresses stated above in Nairobi, Kenya, by hand, registered post, or email with confirmed receipt.</w:t>
      </w:r>
    </w:p>
    <w:p>
      <w:pPr>
        <w:pStyle w:val="FirstParagraph"/>
      </w:pPr>
      <w:r>
        <w:t xml:space="preserve">3. Acceptance and Authorization</w:t>
      </w:r>
    </w:p>
    <w:p>
      <w:pPr>
        <w:pStyle w:val="BodyText"/>
      </w:pPr>
      <w:r>
        <w:t xml:space="preserve">This Purchase Order constitutes a formal request for the engagement of the Lawyer's professional legal services. By signing below, both parties acknowledge and agree to the terms, conditions, and scope of work set forth in this document. This Purchase Order is valid only when signed and stamped by both the authorized representative of the Purchaser and the Lawyer.</w:t>
      </w:r>
    </w:p>
    <w:p>
      <w:pPr>
        <w:pStyle w:val="BodyText"/>
      </w:pPr>
      <w:r>
        <w:t xml:space="preserve">[ COMPANY STAMP / SEAL ]</w:t>
      </w:r>
    </w:p>
    <w:p>
      <w:pPr>
        <w:pStyle w:val="BodyText"/>
      </w:pPr>
      <w:r>
        <w:rPr>
          <w:bCs/>
          <w:b/>
        </w:rPr>
        <w:t xml:space="preserve">For and on behalf of the Purchaser:</w:t>
      </w:r>
    </w:p>
    <w:p>
      <w:pPr>
        <w:pStyle w:val="BodyText"/>
      </w:pPr>
      <w:r>
        <w:rPr>
          <w:bCs/>
          <w:b/>
        </w:rPr>
        <w:t xml:space="preserve">Name:</w:t>
      </w:r>
      <w:r>
        <w:t xml:space="preserve"> </w:t>
      </w:r>
      <w:r>
        <w:t xml:space="preserve">David M. Ochieng', 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Lawyer:</w:t>
      </w:r>
    </w:p>
    <w:p>
      <w:pPr>
        <w:pStyle w:val="BodyText"/>
      </w:pPr>
      <w:r>
        <w:rPr>
          <w:bCs/>
          <w:b/>
        </w:rPr>
        <w:t xml:space="preserve">Name:</w:t>
      </w:r>
      <w:r>
        <w:t xml:space="preserve"> </w:t>
      </w:r>
      <w:r>
        <w:t xml:space="preserve">Advocate Wanjiku M. Kamau</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(PO-EACH-2025-00472) was issued in Nairobi, Kenya, and is valid for thirty (30) days from the date of issue. This document is governed by the laws of the Republic of Kenya. All references to "Nairobi" refer to the City and County of Nairobi, the capital of Kenya. The Lawyer's engagement is subject to the rules and regulations of the Law Society of Kenya and the Judiciary of Kenya.</w:t>
      </w:r>
    </w:p>
    <w:p>
      <w:pPr>
        <w:pStyle w:val="BodyText"/>
      </w:pPr>
      <w:r>
        <w:t xml:space="preserve">Document prepared in accordance with the Public Procurement and Asset Disposal Act (2015) of Kenya and applicable private sector procurement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Kenya Nairobi</dc:title>
  <dc:creator/>
  <dc:language>en</dc:language>
  <cp:keywords/>
  <dcterms:created xsi:type="dcterms:W3CDTF">2026-10-10T07:33:35Z</dcterms:created>
  <dcterms:modified xsi:type="dcterms:W3CDTF">2026-10-10T07:33:35Z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