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urchase-order"/>
    <w:p>
      <w:pPr>
        <w:pStyle w:val="Heading1"/>
      </w:pPr>
      <w:r>
        <w:t xml:space="preserve">PURCHASE ORDER</w:t>
      </w:r>
    </w:p>
    <w:p>
      <w:pPr>
        <w:pStyle w:val="FirstParagraph"/>
      </w:pPr>
      <w:r>
        <w:t xml:space="preserve">Legal Services Engagement — Malaysia Kuala Lumpur</w:t>
      </w:r>
    </w:p>
    <w:p>
      <w:pPr>
        <w:pStyle w:val="BodyText"/>
      </w:pPr>
      <w:r>
        <w:t xml:space="preserve">Issued Pursuant to the Legal Profession Act 1976 (Act 161) of Malaysia</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PO/KL-LEGAL/2025/00472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w:t>
            </w:r>
          </w:p>
        </w:tc>
        <w:tc>
          <w:tcPr/>
          <w:p>
            <w:pPr>
              <w:pStyle w:val="Compact"/>
              <w:jc w:val="left"/>
            </w:pPr>
            <w:r>
              <w:t xml:space="preserve">Currency:</w:t>
            </w:r>
          </w:p>
        </w:tc>
        <w:tc>
          <w:tcPr/>
          <w:p>
            <w:pPr>
              <w:pStyle w:val="Compact"/>
              <w:jc w:val="left"/>
            </w:pPr>
            <w:r>
              <w:t xml:space="preserve">Malaysian Ringgit (MYR / RM)</w:t>
            </w:r>
          </w:p>
        </w:tc>
      </w:tr>
      <w:tr>
        <w:tc>
          <w:tcPr/>
          <w:p>
            <w:pPr>
              <w:pStyle w:val="Compact"/>
              <w:jc w:val="left"/>
            </w:pPr>
            <w:r>
              <w:t xml:space="preserve">Place of Performance:</w:t>
            </w:r>
          </w:p>
        </w:tc>
        <w:tc>
          <w:tcPr>
            <w:gridSpan w:val="3"/>
          </w:tcPr>
          <w:p>
            <w:pPr>
              <w:pStyle w:val="Compact"/>
              <w:jc w:val="left"/>
            </w:pPr>
            <w:r>
              <w:t xml:space="preserve">Kuala Lumpur, Federal Territory, Malaysia</w:t>
            </w:r>
          </w:p>
        </w:tc>
      </w:tr>
    </w:tbl>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Meridian Pacific Holdings Sdn. Bhd.</w:t>
            </w:r>
          </w:p>
        </w:tc>
      </w:tr>
      <w:tr>
        <w:tc>
          <w:tcPr/>
          <w:p>
            <w:pPr>
              <w:pStyle w:val="Compact"/>
              <w:jc w:val="left"/>
            </w:pPr>
            <w:r>
              <w:t xml:space="preserve">Registration No.:</w:t>
            </w:r>
          </w:p>
        </w:tc>
        <w:tc>
          <w:tcPr/>
          <w:p>
            <w:pPr>
              <w:pStyle w:val="Compact"/>
              <w:jc w:val="left"/>
            </w:pPr>
            <w:r>
              <w:t xml:space="preserve">201901045678 (Kuala Lumpur, Malaysia)</w:t>
            </w:r>
          </w:p>
        </w:tc>
      </w:tr>
      <w:tr>
        <w:tc>
          <w:tcPr/>
          <w:p>
            <w:pPr>
              <w:pStyle w:val="Compact"/>
              <w:jc w:val="left"/>
            </w:pPr>
            <w:r>
              <w:t xml:space="preserve">Address:</w:t>
            </w:r>
          </w:p>
        </w:tc>
        <w:tc>
          <w:tcPr/>
          <w:p>
            <w:pPr>
              <w:pStyle w:val="Compact"/>
              <w:jc w:val="left"/>
            </w:pPr>
            <w:r>
              <w:t xml:space="preserve">Suite 2408, Level 24, Menara Maxis, Jalan Tun Razak, 50400 Kuala Lumpur, Federal Territory, Malaysia</w:t>
            </w:r>
          </w:p>
        </w:tc>
      </w:tr>
      <w:tr>
        <w:tc>
          <w:tcPr/>
          <w:p>
            <w:pPr>
              <w:pStyle w:val="Compact"/>
              <w:jc w:val="left"/>
            </w:pPr>
            <w:r>
              <w:t xml:space="preserve">Contact Person:</w:t>
            </w:r>
          </w:p>
        </w:tc>
        <w:tc>
          <w:tcPr/>
          <w:p>
            <w:pPr>
              <w:pStyle w:val="Compact"/>
              <w:jc w:val="left"/>
            </w:pPr>
            <w:r>
              <w:t xml:space="preserve">Mr. Tan Wei Keat, Chief Financial Officer</w:t>
            </w:r>
          </w:p>
        </w:tc>
      </w:tr>
      <w:tr>
        <w:tc>
          <w:tcPr/>
          <w:p>
            <w:pPr>
              <w:pStyle w:val="Compact"/>
              <w:jc w:val="left"/>
            </w:pPr>
            <w:r>
              <w:t xml:space="preserve">Email / Phone:</w:t>
            </w:r>
          </w:p>
        </w:tc>
        <w:tc>
          <w:tcPr/>
          <w:p>
            <w:pPr>
              <w:pStyle w:val="Compact"/>
              <w:jc w:val="left"/>
            </w:pPr>
            <w:r>
              <w:t xml:space="preserve">cfo@meridianpacific.com.my / +603-2181-4400</w:t>
            </w:r>
          </w:p>
        </w:tc>
      </w:tr>
    </w:tbl>
    <w:p>
      <w:pPr>
        <w:pStyle w:val="BodyText"/>
      </w:pPr>
      <w:r>
        <w:t xml:space="preserve">2. Vendor / Service Provider (Lawyer)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Law Firm Name:</w:t>
            </w:r>
          </w:p>
        </w:tc>
        <w:tc>
          <w:tcPr/>
          <w:p>
            <w:pPr>
              <w:pStyle w:val="Compact"/>
              <w:jc w:val="left"/>
            </w:pPr>
            <w:r>
              <w:t xml:space="preserve">Chong, Lim &amp; Associates Advocates &amp; Solicitors</w:t>
            </w:r>
          </w:p>
        </w:tc>
      </w:tr>
      <w:tr>
        <w:tc>
          <w:tcPr/>
          <w:p>
            <w:pPr>
              <w:pStyle w:val="Compact"/>
              <w:jc w:val="left"/>
            </w:pPr>
            <w:r>
              <w:t xml:space="preserve">Bar Council Reg. No.:</w:t>
            </w:r>
          </w:p>
        </w:tc>
        <w:tc>
          <w:tcPr/>
          <w:p>
            <w:pPr>
              <w:pStyle w:val="Compact"/>
              <w:jc w:val="left"/>
            </w:pPr>
            <w:r>
              <w:t xml:space="preserve">KL/FC/2003/1187 (Malaysia Bar Council, Kuala Lumpur)</w:t>
            </w:r>
          </w:p>
        </w:tc>
      </w:tr>
      <w:tr>
        <w:tc>
          <w:tcPr/>
          <w:p>
            <w:pPr>
              <w:pStyle w:val="Compact"/>
              <w:jc w:val="left"/>
            </w:pPr>
            <w:r>
              <w:t xml:space="preserve">Lead Lawyer:</w:t>
            </w:r>
          </w:p>
        </w:tc>
        <w:tc>
          <w:tcPr/>
          <w:p>
            <w:pPr>
              <w:pStyle w:val="Compact"/>
              <w:jc w:val="left"/>
            </w:pPr>
            <w:r>
              <w:t xml:space="preserve">Advocate &amp; Solicitor Dato' Sri Lim Chong Wei (Advocate &amp; Solicitor of the High Court of Malaya)</w:t>
            </w:r>
          </w:p>
        </w:tc>
      </w:tr>
      <w:tr>
        <w:tc>
          <w:tcPr/>
          <w:p>
            <w:pPr>
              <w:pStyle w:val="Compact"/>
              <w:jc w:val="left"/>
            </w:pPr>
            <w:r>
              <w:t xml:space="preserve">Address:</w:t>
            </w:r>
          </w:p>
        </w:tc>
        <w:tc>
          <w:tcPr/>
          <w:p>
            <w:pPr>
              <w:pStyle w:val="Compact"/>
              <w:jc w:val="left"/>
            </w:pPr>
            <w:r>
              <w:t xml:space="preserve">Level 12, The Exchange TRX, Persiaran TRX 2, 50350 Kuala Lumpur, Federal Territory, Malaysia</w:t>
            </w:r>
          </w:p>
        </w:tc>
      </w:tr>
      <w:tr>
        <w:tc>
          <w:tcPr/>
          <w:p>
            <w:pPr>
              <w:pStyle w:val="Compact"/>
              <w:jc w:val="left"/>
            </w:pPr>
            <w:r>
              <w:t xml:space="preserve">Contact Person:</w:t>
            </w:r>
          </w:p>
        </w:tc>
        <w:tc>
          <w:tcPr/>
          <w:p>
            <w:pPr>
              <w:pStyle w:val="Compact"/>
              <w:jc w:val="left"/>
            </w:pPr>
            <w:r>
              <w:t xml:space="preserve">Ms. Nurul Aisyah binti Hassan, Senior Associate</w:t>
            </w:r>
          </w:p>
        </w:tc>
      </w:tr>
      <w:tr>
        <w:tc>
          <w:tcPr/>
          <w:p>
            <w:pPr>
              <w:pStyle w:val="Compact"/>
              <w:jc w:val="left"/>
            </w:pPr>
            <w:r>
              <w:t xml:space="preserve">Email / Phone:</w:t>
            </w:r>
          </w:p>
        </w:tc>
        <w:tc>
          <w:tcPr/>
          <w:p>
            <w:pPr>
              <w:pStyle w:val="Compact"/>
              <w:jc w:val="left"/>
            </w:pPr>
            <w:r>
              <w:t xml:space="preserve">enquiries@chonglimadvocates.my / +603-2287-6600</w:t>
            </w:r>
          </w:p>
        </w:tc>
      </w:tr>
    </w:tbl>
    <w:p>
      <w:pPr>
        <w:pStyle w:val="BodyText"/>
      </w:pPr>
      <w:r>
        <w:t xml:space="preserve">3. Description of Legal Services (Line Items)</w:t>
      </w:r>
    </w:p>
    <w:p>
      <w:pPr>
        <w:pStyle w:val="BodyText"/>
      </w:pPr>
      <w:r>
        <w:t xml:space="preserve">This Purchase Order is issued by Meridian Pacific Holdings Sdn. Bhd. to engage the services of a qualified Lawyer, specifically the firm of Chong, Lim &amp; Associates Advocates &amp; Solicitors, for the provision of comprehensive legal advisory and representation services within the jurisdiction of Malaysia Kuala Lumpur. The Lawyer shall act in accordance with the Rules of Professional Conduct 2020 issued by the Malaysian Bar Council and all applicable Malaysian statutes.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Legal Service</w:t>
            </w:r>
          </w:p>
        </w:tc>
        <w:tc>
          <w:tcPr/>
          <w:p>
            <w:pPr>
              <w:pStyle w:val="Compact"/>
              <w:jc w:val="left"/>
            </w:pPr>
            <w:r>
              <w:t xml:space="preserve">Rate (MYR)</w:t>
            </w:r>
          </w:p>
        </w:tc>
        <w:tc>
          <w:tcPr/>
          <w:p>
            <w:pPr>
              <w:pStyle w:val="Compact"/>
              <w:jc w:val="left"/>
            </w:pPr>
            <w:r>
              <w:t xml:space="preserve">Qty / Hours</w:t>
            </w:r>
          </w:p>
        </w:tc>
        <w:tc>
          <w:tcPr/>
          <w:p>
            <w:pPr>
              <w:pStyle w:val="Compact"/>
              <w:jc w:val="left"/>
            </w:pPr>
            <w:r>
              <w:t xml:space="preserve">Amount (MYR)</w:t>
            </w:r>
          </w:p>
        </w:tc>
      </w:tr>
      <w:tr>
        <w:tc>
          <w:tcPr/>
          <w:p>
            <w:pPr>
              <w:pStyle w:val="Compact"/>
              <w:jc w:val="left"/>
            </w:pPr>
            <w:r>
              <w:t xml:space="preserve">1</w:t>
            </w:r>
          </w:p>
        </w:tc>
        <w:tc>
          <w:tcPr/>
          <w:p>
            <w:pPr>
              <w:pStyle w:val="Compact"/>
              <w:jc w:val="left"/>
            </w:pPr>
            <w:r>
              <w:t xml:space="preserve">Corporate legal advisory and compliance review for Meridian Pacific Holdings Sdn. Bhd. operations in Kuala Lumpur, Malaysia, including review of existing shareholder agreements, board resolutions, and statutory filings with the Companies Commission of Malaysia (SSM).</w:t>
            </w:r>
          </w:p>
        </w:tc>
        <w:tc>
          <w:tcPr/>
          <w:p>
            <w:pPr>
              <w:pStyle w:val="Compact"/>
              <w:jc w:val="left"/>
            </w:pPr>
            <w:r>
              <w:t xml:space="preserve">RM 450.00 / hour</w:t>
            </w:r>
          </w:p>
        </w:tc>
        <w:tc>
          <w:tcPr/>
          <w:p>
            <w:pPr>
              <w:pStyle w:val="Compact"/>
              <w:jc w:val="left"/>
            </w:pPr>
            <w:r>
              <w:t xml:space="preserve">40 hours</w:t>
            </w:r>
          </w:p>
        </w:tc>
        <w:tc>
          <w:tcPr/>
          <w:p>
            <w:pPr>
              <w:pStyle w:val="Compact"/>
              <w:jc w:val="left"/>
            </w:pPr>
            <w:r>
              <w:t xml:space="preserve">RM 18,000.00</w:t>
            </w:r>
          </w:p>
        </w:tc>
      </w:tr>
      <w:tr>
        <w:tc>
          <w:tcPr/>
          <w:p>
            <w:pPr>
              <w:pStyle w:val="Compact"/>
              <w:jc w:val="left"/>
            </w:pPr>
            <w:r>
              <w:t xml:space="preserve">2</w:t>
            </w:r>
          </w:p>
        </w:tc>
        <w:tc>
          <w:tcPr/>
          <w:p>
            <w:pPr>
              <w:pStyle w:val="Compact"/>
              <w:jc w:val="left"/>
            </w:pPr>
            <w:r>
              <w:t xml:space="preserve">Drafting and negotiation of a commercial lease agreement for office premises at Level 18, Menara 1 Sentral, Kuala Lumpur, Malaysia, including title search at the Land Registry, Kuala Lumpur, and stamp duty assessment under the Stamp Act 1985 (Malaysia).</w:t>
            </w:r>
          </w:p>
        </w:tc>
        <w:tc>
          <w:tcPr/>
          <w:p>
            <w:pPr>
              <w:pStyle w:val="Compact"/>
              <w:jc w:val="left"/>
            </w:pPr>
            <w:r>
              <w:t xml:space="preserve">RM 12,500.00 (fixed fee)</w:t>
            </w:r>
          </w:p>
        </w:tc>
        <w:tc>
          <w:tcPr/>
          <w:p>
            <w:pPr>
              <w:pStyle w:val="Compact"/>
              <w:jc w:val="left"/>
            </w:pPr>
            <w:r>
              <w:t xml:space="preserve">1</w:t>
            </w:r>
          </w:p>
        </w:tc>
        <w:tc>
          <w:tcPr/>
          <w:p>
            <w:pPr>
              <w:pStyle w:val="Compact"/>
              <w:jc w:val="left"/>
            </w:pPr>
            <w:r>
              <w:t xml:space="preserve">RM 12,500.00</w:t>
            </w:r>
          </w:p>
        </w:tc>
      </w:tr>
      <w:tr>
        <w:tc>
          <w:tcPr/>
          <w:p>
            <w:pPr>
              <w:pStyle w:val="Compact"/>
              <w:jc w:val="left"/>
            </w:pPr>
            <w:r>
              <w:t xml:space="preserve">3</w:t>
            </w:r>
          </w:p>
        </w:tc>
        <w:tc>
          <w:tcPr/>
          <w:p>
            <w:pPr>
              <w:pStyle w:val="Compact"/>
              <w:jc w:val="left"/>
            </w:pPr>
            <w:r>
              <w:t xml:space="preserve">Representation before the High Court of Malaya, Kuala Lumpur, in a commercial dispute matter (Case No. 2025-03847), including preparation of pleadings, attendance at case management conferences, and trial advocacy. The Lawyer shall be the lead counsel of record.</w:t>
            </w:r>
          </w:p>
        </w:tc>
        <w:tc>
          <w:tcPr/>
          <w:p>
            <w:pPr>
              <w:pStyle w:val="Compact"/>
              <w:jc w:val="left"/>
            </w:pPr>
            <w:r>
              <w:t xml:space="preserve">RM 850.00 / hour</w:t>
            </w:r>
          </w:p>
        </w:tc>
        <w:tc>
          <w:tcPr/>
          <w:p>
            <w:pPr>
              <w:pStyle w:val="Compact"/>
              <w:jc w:val="left"/>
            </w:pPr>
            <w:r>
              <w:t xml:space="preserve">60 hours</w:t>
            </w:r>
          </w:p>
        </w:tc>
        <w:tc>
          <w:tcPr/>
          <w:p>
            <w:pPr>
              <w:pStyle w:val="Compact"/>
              <w:jc w:val="left"/>
            </w:pPr>
            <w:r>
              <w:t xml:space="preserve">RM 51,000.00</w:t>
            </w:r>
          </w:p>
        </w:tc>
      </w:tr>
      <w:tr>
        <w:tc>
          <w:tcPr/>
          <w:p>
            <w:pPr>
              <w:pStyle w:val="Compact"/>
              <w:jc w:val="left"/>
            </w:pPr>
            <w:r>
              <w:t xml:space="preserve">4</w:t>
            </w:r>
          </w:p>
        </w:tc>
        <w:tc>
          <w:tcPr/>
          <w:p>
            <w:pPr>
              <w:pStyle w:val="Compact"/>
              <w:jc w:val="left"/>
            </w:pPr>
            <w:r>
              <w:t xml:space="preserve">Intellectual property advisory and filing of two (2) trademark applications with the Intellectual Property Corporation of Malaysia (MyIPO), Kuala Lumpur, including prior art search and response to any examination objections.</w:t>
            </w:r>
          </w:p>
        </w:tc>
        <w:tc>
          <w:tcPr/>
          <w:p>
            <w:pPr>
              <w:pStyle w:val="Compact"/>
              <w:jc w:val="left"/>
            </w:pPr>
            <w:r>
              <w:t xml:space="preserve">RM 6,800.00 (fixed fee per mark)</w:t>
            </w:r>
          </w:p>
        </w:tc>
        <w:tc>
          <w:tcPr/>
          <w:p>
            <w:pPr>
              <w:pStyle w:val="Compact"/>
              <w:jc w:val="left"/>
            </w:pPr>
            <w:r>
              <w:t xml:space="preserve">2</w:t>
            </w:r>
          </w:p>
        </w:tc>
        <w:tc>
          <w:tcPr/>
          <w:p>
            <w:pPr>
              <w:pStyle w:val="Compact"/>
              <w:jc w:val="left"/>
            </w:pPr>
            <w:r>
              <w:t xml:space="preserve">RM 13,600.00</w:t>
            </w:r>
          </w:p>
        </w:tc>
      </w:tr>
      <w:tr>
        <w:tc>
          <w:tcPr/>
          <w:p>
            <w:pPr>
              <w:pStyle w:val="Compact"/>
              <w:jc w:val="left"/>
            </w:pPr>
            <w:r>
              <w:t xml:space="preserve">5</w:t>
            </w:r>
          </w:p>
        </w:tc>
        <w:tc>
          <w:tcPr/>
          <w:p>
            <w:pPr>
              <w:pStyle w:val="Compact"/>
              <w:jc w:val="left"/>
            </w:pPr>
            <w:r>
              <w:t xml:space="preserve">Monthly retainer for ongoing legal counsel, including telephone consultations, email correspondence, and review of routine corporate documents for the Kuala Lumpur, Malaysia office. Retainer period: 12 months from the date of this Purchase Order.</w:t>
            </w:r>
          </w:p>
        </w:tc>
        <w:tc>
          <w:tcPr/>
          <w:p>
            <w:pPr>
              <w:pStyle w:val="Compact"/>
              <w:jc w:val="left"/>
            </w:pPr>
            <w:r>
              <w:t xml:space="preserve">RM 8,000.00 / month</w:t>
            </w:r>
          </w:p>
        </w:tc>
        <w:tc>
          <w:tcPr/>
          <w:p>
            <w:pPr>
              <w:pStyle w:val="Compact"/>
              <w:jc w:val="left"/>
            </w:pPr>
            <w:r>
              <w:t xml:space="preserve">12 months</w:t>
            </w:r>
          </w:p>
        </w:tc>
        <w:tc>
          <w:tcPr/>
          <w:p>
            <w:pPr>
              <w:pStyle w:val="Compact"/>
              <w:jc w:val="left"/>
            </w:pPr>
            <w:r>
              <w:t xml:space="preserve">RM 96,000.00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RM 191,100.00</w:t>
            </w:r>
          </w:p>
        </w:tc>
      </w:tr>
      <w:tr>
        <w:tc>
          <w:tcPr/>
          <w:p>
            <w:pPr>
              <w:pStyle w:val="Compact"/>
              <w:jc w:val="left"/>
            </w:pPr>
            <w:r>
              <w:t xml:space="preserve">Service Tax (6% under Malaysian Service Tax Act 2018):</w:t>
            </w:r>
          </w:p>
        </w:tc>
        <w:tc>
          <w:tcPr/>
          <w:p>
            <w:pPr>
              <w:pStyle w:val="Compact"/>
              <w:jc w:val="right"/>
            </w:pPr>
            <w:r>
              <w:t xml:space="preserve">RM 11,466.00</w:t>
            </w:r>
          </w:p>
        </w:tc>
      </w:tr>
      <w:tr>
        <w:tc>
          <w:tcPr/>
          <w:p>
            <w:pPr>
              <w:pStyle w:val="Compact"/>
              <w:jc w:val="left"/>
            </w:pPr>
            <w:r>
              <w:t xml:space="preserve">Disbursements &amp; Out-of-Pocket Expenses (estimated):</w:t>
            </w:r>
          </w:p>
        </w:tc>
        <w:tc>
          <w:tcPr/>
          <w:p>
            <w:pPr>
              <w:pStyle w:val="Compact"/>
              <w:jc w:val="right"/>
            </w:pPr>
            <w:r>
              <w:t xml:space="preserve">RM 4,500.00</w:t>
            </w:r>
          </w:p>
        </w:tc>
      </w:tr>
      <w:tr>
        <w:tc>
          <w:tcPr/>
          <w:p>
            <w:pPr>
              <w:pStyle w:val="Compact"/>
              <w:jc w:val="left"/>
            </w:pPr>
            <w:r>
              <w:t xml:space="preserve">Grand Total (MYR):</w:t>
            </w:r>
          </w:p>
        </w:tc>
        <w:tc>
          <w:tcPr/>
          <w:p>
            <w:pPr>
              <w:pStyle w:val="Compact"/>
              <w:jc w:val="right"/>
            </w:pPr>
            <w:r>
              <w:t xml:space="preserve">RM 207,066.00</w:t>
            </w:r>
          </w:p>
        </w:tc>
      </w:tr>
    </w:tbl>
    <w:p>
      <w:pPr>
        <w:pStyle w:val="BodyText"/>
      </w:pPr>
      <w:r>
        <w:t xml:space="preserve">4. Terms and Conditions</w:t>
      </w:r>
    </w:p>
    <w:p>
      <w:pPr>
        <w:numPr>
          <w:ilvl w:val="0"/>
          <w:numId w:val="1001"/>
        </w:numPr>
        <w:pStyle w:val="Compact"/>
      </w:pPr>
      <w:r>
        <w:rPr>
          <w:bCs/>
          <w:b/>
        </w:rPr>
        <w:t xml:space="preserve">Governing Law and Jurisdiction:</w:t>
      </w:r>
      <w:r>
        <w:t xml:space="preserve"> </w:t>
      </w:r>
      <w:r>
        <w:t xml:space="preserve">This Purchase Order and the legal services engagement herein shall be governed by and construed in accordance with the laws of Malaysia. Any dispute arising from this Purchase Order shall be subject to the exclusive jurisdiction of the courts of Malaysia Kuala Lumpur, specifically the High Court of Malaya sitting in Kuala Lumpur.</w:t>
      </w:r>
    </w:p>
    <w:p>
      <w:pPr>
        <w:numPr>
          <w:ilvl w:val="0"/>
          <w:numId w:val="1001"/>
        </w:numPr>
        <w:pStyle w:val="Compact"/>
      </w:pPr>
      <w:r>
        <w:rPr>
          <w:bCs/>
          <w:b/>
        </w:rPr>
        <w:t xml:space="preserve">Professional Standards:</w:t>
      </w:r>
      <w:r>
        <w:t xml:space="preserve"> </w:t>
      </w:r>
      <w:r>
        <w:t xml:space="preserve">The Lawyer and all associates engaged under this Purchase Order shall adhere to the Rules of Professional Conduct 2020 as promulgated by the Malaysian Bar Council. The Lawyer shall maintain professional indemnity insurance with a minimum coverage of RM 1,000,000 as required by the Malaysian Bar Council for practitioners in Kuala Lumpur.</w:t>
      </w:r>
    </w:p>
    <w:p>
      <w:pPr>
        <w:numPr>
          <w:ilvl w:val="0"/>
          <w:numId w:val="1001"/>
        </w:numPr>
        <w:pStyle w:val="Compact"/>
      </w:pPr>
      <w:r>
        <w:rPr>
          <w:bCs/>
          <w:b/>
        </w:rPr>
        <w:t xml:space="preserve">Payment Terms:</w:t>
      </w:r>
      <w:r>
        <w:t xml:space="preserve"> </w:t>
      </w:r>
      <w:r>
        <w:t xml:space="preserve">Payment shall be made within thirty (30) days from the date of invoice issuance. The monthly retainer fee (Item 5) shall be payable in advance on the first business day of each calendar month. All payments shall be made via bank transfer to the firm's designated account in Malaysia. No payment shall be made to any individual Lawyer outside the firm's trust account unless expressly authorised in writing.</w:t>
      </w:r>
    </w:p>
    <w:p>
      <w:pPr>
        <w:numPr>
          <w:ilvl w:val="0"/>
          <w:numId w:val="1001"/>
        </w:numPr>
        <w:pStyle w:val="Compact"/>
      </w:pPr>
      <w:r>
        <w:rPr>
          <w:bCs/>
          <w:b/>
        </w:rPr>
        <w:t xml:space="preserve">Confidentiality and Data Protection:</w:t>
      </w:r>
      <w:r>
        <w:t xml:space="preserve"> </w:t>
      </w:r>
      <w:r>
        <w:t xml:space="preserve">The Lawyer shall maintain strict confidentiality of all information disclosed in the course of this engagement, in accordance with the legal professional privilege recognised under Malaysian law. All personal data processed shall comply with the Personal Data Protection Act 2010 (PDPA) of Malaysia.</w:t>
      </w:r>
    </w:p>
    <w:p>
      <w:pPr>
        <w:numPr>
          <w:ilvl w:val="0"/>
          <w:numId w:val="1001"/>
        </w:numPr>
        <w:pStyle w:val="Compact"/>
      </w:pPr>
      <w:r>
        <w:rPr>
          <w:bCs/>
          <w:b/>
        </w:rPr>
        <w:t xml:space="preserve">Scope and Limitations:</w:t>
      </w:r>
      <w:r>
        <w:t xml:space="preserve"> </w:t>
      </w:r>
      <w:r>
        <w:t xml:space="preserve">The services described in this Purchase Order are limited to the legal matters specified herein. Any additional legal work requested by the Buyer beyond the scope of this Purchase Order shall require a written amendment or supplementary Purchase Order issued by the Buyer prior to commencement.</w:t>
      </w:r>
    </w:p>
    <w:p>
      <w:pPr>
        <w:numPr>
          <w:ilvl w:val="0"/>
          <w:numId w:val="1001"/>
        </w:numPr>
        <w:pStyle w:val="Compact"/>
      </w:pPr>
      <w:r>
        <w:rPr>
          <w:bCs/>
          <w:b/>
        </w:rPr>
        <w:t xml:space="preserve">Termination:</w:t>
      </w:r>
      <w:r>
        <w:t xml:space="preserve"> </w:t>
      </w:r>
      <w:r>
        <w:t xml:space="preserve">Either party may terminate this Purchase Order by providing thirty (30) days' written notice. Upon termination, the Lawyer shall be entitled to payment for all legal services rendered up to the date of termination, and the Buyer shall be entitled to a refund of any unearned retainer fees. The Lawyer shall return all documents and files belonging to the Buyer within fourteen (14) days of termination.</w:t>
      </w:r>
    </w:p>
    <w:p>
      <w:pPr>
        <w:numPr>
          <w:ilvl w:val="0"/>
          <w:numId w:val="1001"/>
        </w:numPr>
        <w:pStyle w:val="Compact"/>
      </w:pPr>
      <w:r>
        <w:rPr>
          <w:bCs/>
          <w:b/>
        </w:rPr>
        <w:t xml:space="preserve">Conflict of Interest:</w:t>
      </w:r>
      <w:r>
        <w:t xml:space="preserve"> </w:t>
      </w:r>
      <w:r>
        <w:t xml:space="preserve">The Lawyer warrants that, as of the date of this Purchase Order, there is no conflict of interest in representing Meridian Pacific Holdings Sdn. Bhd. in the matters described herein. The Lawyer shall immediately notify the Buyer in writing should any conflict of interest arise during the engagement period.</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restrictions in Malaysia Kuala Lumpur, or court closures declared by the Malaysian judiciary.</w:t>
      </w:r>
    </w:p>
    <w:p>
      <w:pPr>
        <w:numPr>
          <w:ilvl w:val="0"/>
          <w:numId w:val="1001"/>
        </w:numPr>
        <w:pStyle w:val="Compact"/>
      </w:pPr>
      <w:r>
        <w:rPr>
          <w:bCs/>
          <w:b/>
        </w:rPr>
        <w:t xml:space="preserve">Anti-Bribery and Compliance:</w:t>
      </w:r>
      <w:r>
        <w:t xml:space="preserve"> </w:t>
      </w:r>
      <w:r>
        <w:t xml:space="preserve">The Lawyer represents that no part of the fees payable under this Purchase Order shall be used for any purpose that contravenes the Malaysian Anti-Corruption Commission Act 2009 (MACC Act) or any other anti-bribery legislation in force in Malaysia.</w:t>
      </w:r>
    </w:p>
    <w:p>
      <w:pPr>
        <w:pStyle w:val="FirstParagraph"/>
      </w:pPr>
      <w:r>
        <w:t xml:space="preserve">5. Authorisation and Acceptance</w:t>
      </w:r>
    </w:p>
    <w:p>
      <w:pPr>
        <w:pStyle w:val="BodyText"/>
      </w:pPr>
      <w:r>
        <w:t xml:space="preserve">By signing below, the Buyer authorises this Purchase Order for the engagement of the Lawyer's services as described herein, and the Lawyer accepts the terms and conditions set forth in this Purchase Order for the provision of legal services in Malaysia Kuala Lumpur.</w:t>
      </w:r>
    </w:p>
    <w:bookmarkStart w:id="21" w:name="for-and-on-behalf-of-the-buyer"/>
    <w:p>
      <w:pPr>
        <w:pStyle w:val="Heading4"/>
      </w:pPr>
      <w:r>
        <w:t xml:space="preserve">For and on behalf of the Buyer:</w:t>
      </w:r>
    </w:p>
    <w:p>
      <w:pPr>
        <w:pStyle w:val="FirstParagraph"/>
      </w:pPr>
      <w:r>
        <w:rPr>
          <w:bCs/>
          <w:b/>
        </w:rPr>
        <w:t xml:space="preserve">Meridian Pacific Holdings Sdn. Bhd.</w:t>
      </w:r>
    </w:p>
    <w:p>
      <w:pPr>
        <w:pStyle w:val="BodyText"/>
      </w:pPr>
      <w:r>
        <w:t xml:space="preserve">Name: Mr. Tan Wei Keat</w:t>
      </w:r>
      <w:r>
        <w:br/>
      </w:r>
      <w:r>
        <w:t xml:space="preserve">Designation: Chief Financial Officer</w:t>
      </w:r>
      <w:r>
        <w:br/>
      </w:r>
      <w:r>
        <w:t xml:space="preserve">Signature: _________________________</w:t>
      </w:r>
      <w:r>
        <w:br/>
      </w:r>
      <w:r>
        <w:t xml:space="preserve">Date: _________________________</w:t>
      </w:r>
      <w:r>
        <w:br/>
      </w:r>
      <w:r>
        <w:t xml:space="preserve">Company Stamp:</w:t>
      </w:r>
    </w:p>
    <w:bookmarkEnd w:id="21"/>
    <w:bookmarkStart w:id="22" w:name="for-and-on-behalf-of-the-lawyer-vendor"/>
    <w:p>
      <w:pPr>
        <w:pStyle w:val="Heading4"/>
      </w:pPr>
      <w:r>
        <w:t xml:space="preserve">For and on behalf of the Lawyer / Vendor:</w:t>
      </w:r>
    </w:p>
    <w:p>
      <w:pPr>
        <w:pStyle w:val="FirstParagraph"/>
      </w:pPr>
      <w:r>
        <w:rPr>
          <w:bCs/>
          <w:b/>
        </w:rPr>
        <w:t xml:space="preserve">Chong, Lim &amp; Associates Advocates &amp; Solicitors</w:t>
      </w:r>
    </w:p>
    <w:p>
      <w:pPr>
        <w:pStyle w:val="BodyText"/>
      </w:pPr>
      <w:r>
        <w:t xml:space="preserve">Name: Dato' Sri Lim Chong Wei</w:t>
      </w:r>
      <w:r>
        <w:br/>
      </w:r>
      <w:r>
        <w:t xml:space="preserve">Designation: Senior Partner, Advocate &amp; Solicitor</w:t>
      </w:r>
      <w:r>
        <w:br/>
      </w:r>
      <w:r>
        <w:t xml:space="preserve">Signature: _________________________</w:t>
      </w:r>
      <w:r>
        <w:br/>
      </w:r>
      <w:r>
        <w:t xml:space="preserve">Date: _________________________</w:t>
      </w:r>
      <w:r>
        <w:br/>
      </w:r>
      <w:r>
        <w:t xml:space="preserve">Firm Stamp:</w:t>
      </w:r>
    </w:p>
    <w:bookmarkEnd w:id="22"/>
    <w:p>
      <w:pPr>
        <w:pStyle w:val="BodyText"/>
      </w:pPr>
      <w:r>
        <w:t xml:space="preserve">This Purchase Order (PO/KL-LEGAL/2025/00472) is issued in triplicate. One copy is retained by the Buyer, one copy is issued to the Lawyer (Vendor), and one copy is filed with the Buyer's corporate records in Kuala Lumpur, Malaysia. This document does not constitute a retainer agreement in the absence of the countersignature of the Lawyer. All references to "Malaysia Kuala Lumpur" in this document refer to the Federal Territory of Kuala Lumpur, Malaysia, as the designated place of performance and jurisdiction. This Purchase Order is subject to the Legal Profession Act 1976 (Act 161) and the Rules of Professional Conduct 2020 of the Malaysian Bar Council.</w:t>
      </w:r>
    </w:p>
    <w:p>
      <w:pPr>
        <w:pStyle w:val="BodyText"/>
      </w:pPr>
      <w:r>
        <w:t xml:space="preserve">© 2025 Meridian Pacific Holdings Sdn. Bhd. All rights reserved. Document generated in Kuala Lumpur, Malaysia.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Malaysia Kuala Lumpur</dc:title>
  <dc:creator/>
  <dc:language>en</dc:language>
  <cp:keywords/>
  <dcterms:created xsi:type="dcterms:W3CDTF">2026-10-10T07:06:07Z</dcterms:created>
  <dcterms:modified xsi:type="dcterms:W3CDTF">2026-10-10T07:06:07Z</dcterms:modified>
</cp:coreProperties>
</file>

<file path=docProps/custom.xml><?xml version="1.0" encoding="utf-8"?>
<Properties xmlns="http://schemas.openxmlformats.org/officeDocument/2006/custom-properties" xmlns:vt="http://schemas.openxmlformats.org/officeDocument/2006/docPropsVTypes"/>
</file>