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Legal Professional Services — Attorney Engagement</w:t>
      </w:r>
    </w:p>
    <w:p>
      <w:pPr>
        <w:pStyle w:val="BodyText"/>
      </w:pPr>
      <w:r>
        <w:t xml:space="preserve">Mexico City, Mexico</w:t>
      </w:r>
    </w:p>
    <w:bookmarkEnd w:id="20"/>
    <w:p>
      <w:pPr>
        <w:pStyle w:val="BodyText"/>
      </w:pPr>
      <w:r>
        <w:rPr>
          <w:bCs/>
          <w:b/>
        </w:rPr>
        <w:t xml:space="preserve">Purchase Order No.:</w:t>
      </w:r>
      <w:r>
        <w:t xml:space="preserve"> </w:t>
      </w:r>
      <w:r>
        <w:t xml:space="preserve">PO-MX-2025-04872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bookmarkStart w:id="21" w:name="buyer-client"/>
    <w:p>
      <w:pPr>
        <w:pStyle w:val="Heading3"/>
      </w:pPr>
      <w:r>
        <w:t xml:space="preserve">BUYER (Client)</w:t>
      </w:r>
    </w:p>
    <w:p>
      <w:pPr>
        <w:pStyle w:val="FirstParagraph"/>
      </w:pPr>
      <w:r>
        <w:rPr>
          <w:bCs/>
          <w:b/>
        </w:rPr>
        <w:t xml:space="preserve">Company:</w:t>
      </w:r>
      <w:r>
        <w:t xml:space="preserve"> </w:t>
      </w:r>
      <w:r>
        <w:t xml:space="preserve">Grupo Industrial del Valle, S.A. de C.V.</w:t>
      </w:r>
    </w:p>
    <w:p>
      <w:pPr>
        <w:pStyle w:val="BodyText"/>
      </w:pPr>
      <w:r>
        <w:rPr>
          <w:bCs/>
          <w:b/>
        </w:rPr>
        <w:t xml:space="preserve">Address:</w:t>
      </w:r>
      <w:r>
        <w:t xml:space="preserve"> </w:t>
      </w:r>
      <w:r>
        <w:t xml:space="preserve">Av. Paseo de la Reforma 250, Piso 14, Col. Cuauhtémoc, 06600 Mexico City, Mexico</w:t>
      </w:r>
    </w:p>
    <w:p>
      <w:pPr>
        <w:pStyle w:val="BodyText"/>
      </w:pPr>
      <w:r>
        <w:rPr>
          <w:bCs/>
          <w:b/>
        </w:rPr>
        <w:t xml:space="preserve">RFC:</w:t>
      </w:r>
      <w:r>
        <w:t xml:space="preserve"> </w:t>
      </w:r>
      <w:r>
        <w:t xml:space="preserve">GIV980512AB3</w:t>
      </w:r>
    </w:p>
    <w:p>
      <w:pPr>
        <w:pStyle w:val="BodyText"/>
      </w:pPr>
      <w:r>
        <w:rPr>
          <w:bCs/>
          <w:b/>
        </w:rPr>
        <w:t xml:space="preserve">Contact:</w:t>
      </w:r>
      <w:r>
        <w:t xml:space="preserve"> </w:t>
      </w:r>
      <w:r>
        <w:t xml:space="preserve">Lic. María Fernanda Gutiérrez</w:t>
      </w:r>
    </w:p>
    <w:p>
      <w:pPr>
        <w:pStyle w:val="BodyText"/>
      </w:pPr>
      <w:r>
        <w:rPr>
          <w:bCs/>
          <w:b/>
        </w:rPr>
        <w:t xml:space="preserve">Email:</w:t>
      </w:r>
      <w:r>
        <w:t xml:space="preserve"> </w:t>
      </w:r>
      <w:r>
        <w:t xml:space="preserve">mfgutierrez@grupovalle.mx</w:t>
      </w:r>
    </w:p>
    <w:p>
      <w:pPr>
        <w:pStyle w:val="BodyText"/>
      </w:pPr>
      <w:r>
        <w:rPr>
          <w:bCs/>
          <w:b/>
        </w:rPr>
        <w:t xml:space="preserve">Phone:</w:t>
      </w:r>
      <w:r>
        <w:t xml:space="preserve"> </w:t>
      </w:r>
      <w:r>
        <w:t xml:space="preserve">+52 (55) 5264-8891</w:t>
      </w:r>
    </w:p>
    <w:bookmarkEnd w:id="21"/>
    <w:bookmarkStart w:id="22" w:name="seller-lawyer-legal-provider"/>
    <w:p>
      <w:pPr>
        <w:pStyle w:val="Heading3"/>
      </w:pPr>
      <w:r>
        <w:t xml:space="preserve">SELLER (Lawyer / Legal Provider)</w:t>
      </w:r>
    </w:p>
    <w:p>
      <w:pPr>
        <w:pStyle w:val="FirstParagraph"/>
      </w:pPr>
      <w:r>
        <w:rPr>
          <w:bCs/>
          <w:b/>
        </w:rPr>
        <w:t xml:space="preserve">Firm:</w:t>
      </w:r>
      <w:r>
        <w:t xml:space="preserve"> </w:t>
      </w:r>
      <w:r>
        <w:t xml:space="preserve">Despacho Jurídico Herrera &amp; Asociados, S.C.</w:t>
      </w:r>
    </w:p>
    <w:p>
      <w:pPr>
        <w:pStyle w:val="BodyText"/>
      </w:pPr>
      <w:r>
        <w:rPr>
          <w:bCs/>
          <w:b/>
        </w:rPr>
        <w:t xml:space="preserve">Lead Attorney:</w:t>
      </w:r>
      <w:r>
        <w:t xml:space="preserve"> </w:t>
      </w:r>
      <w:r>
        <w:t xml:space="preserve">Mtro. Jorge Luis Herrera Mendoza</w:t>
      </w:r>
    </w:p>
    <w:p>
      <w:pPr>
        <w:pStyle w:val="BodyText"/>
      </w:pPr>
      <w:r>
        <w:rPr>
          <w:bCs/>
          <w:b/>
        </w:rPr>
        <w:t xml:space="preserve">Address:</w:t>
      </w:r>
      <w:r>
        <w:t xml:space="preserve"> </w:t>
      </w:r>
      <w:r>
        <w:t xml:space="preserve">Calle Orizaba 45, Col. Juárez, 06600 Mexico City, Mexico</w:t>
      </w:r>
    </w:p>
    <w:p>
      <w:pPr>
        <w:pStyle w:val="BodyText"/>
      </w:pPr>
      <w:r>
        <w:rPr>
          <w:bCs/>
          <w:b/>
        </w:rPr>
        <w:t xml:space="preserve">RFC:</w:t>
      </w:r>
      <w:r>
        <w:t xml:space="preserve"> </w:t>
      </w:r>
      <w:r>
        <w:t xml:space="preserve">DHM820315QX7</w:t>
      </w:r>
    </w:p>
    <w:p>
      <w:pPr>
        <w:pStyle w:val="BodyText"/>
      </w:pPr>
      <w:r>
        <w:rPr>
          <w:bCs/>
          <w:b/>
        </w:rPr>
        <w:t xml:space="preserve">Bar Registration:</w:t>
      </w:r>
      <w:r>
        <w:t xml:space="preserve"> </w:t>
      </w:r>
      <w:r>
        <w:t xml:space="preserve">Cédula Profesional No. 12845763, Colegio de Abogados de la Ciudad de México</w:t>
      </w:r>
    </w:p>
    <w:p>
      <w:pPr>
        <w:pStyle w:val="BodyText"/>
      </w:pPr>
      <w:r>
        <w:rPr>
          <w:bCs/>
          <w:b/>
        </w:rPr>
        <w:t xml:space="preserve">Email:</w:t>
      </w:r>
      <w:r>
        <w:t xml:space="preserve"> </w:t>
      </w:r>
      <w:r>
        <w:t xml:space="preserve">jherrera@herreraasociados.mx</w:t>
      </w:r>
    </w:p>
    <w:p>
      <w:pPr>
        <w:pStyle w:val="BodyText"/>
      </w:pPr>
      <w:r>
        <w:rPr>
          <w:bCs/>
          <w:b/>
        </w:rPr>
        <w:t xml:space="preserve">Phone:</w:t>
      </w:r>
      <w:r>
        <w:t xml:space="preserve"> </w:t>
      </w:r>
      <w:r>
        <w:t xml:space="preserve">+52 (55) 5516-3320</w:t>
      </w:r>
    </w:p>
    <w:bookmarkEnd w:id="22"/>
    <w:bookmarkStart w:id="23" w:name="X9803cbf8d2af6ca433dfb64c5a466e07d507ad8"/>
    <w:p>
      <w:pPr>
        <w:pStyle w:val="Heading2"/>
      </w:pPr>
      <w:r>
        <w:t xml:space="preserve">Description of Purchase Order — Legal Services Rendered by Lawyer</w:t>
      </w:r>
    </w:p>
    <w:p>
      <w:pPr>
        <w:pStyle w:val="FirstParagraph"/>
      </w:pPr>
      <w:r>
        <w:t xml:space="preserve">This Purchase Order is issued by Grupo Industrial del Valle, S.A. de C.V. (hereinafter referred to as the "Buyer") to formally request and authorize the engagement of professional legal services provided by Mtro. Jorge Luis Herrera Mendoza, acting in his capacity as a licensed Lawyer (Abogado) registered with the Colegio de Abogados de la Ciudad de México, operating through Despacho Jurídico Herrera &amp; Asociados, S.C. (hereinafter referred to as the "Seller" or "Lawyer"). This Purchase Order governs the scope, compensation, and conditions under which the Lawyer shall render legal counsel and representation on behalf of the Buyer within the jurisdiction of Mexico City, Mexico, and in compliance with all applicable federal and local regulations of the United Mexican States.</w:t>
      </w:r>
    </w:p>
    <w:bookmarkEnd w:id="23"/>
    <w:bookmarkStart w:id="24" w:name="line-items-scope-of-legal-services"/>
    <w:p>
      <w:pPr>
        <w:pStyle w:val="Heading2"/>
      </w:pPr>
      <w:r>
        <w:t xml:space="preserve">Line Items — Scope of Legal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Comprehensive legal review and drafting of commercial lease agreements for three industrial properties located in the Industrial Zone of Mexico City, Mexico. The Lawyer shall ensure compliance with the Código Civil Federal and local regulations of the Ciudad de México.</w:t>
            </w:r>
          </w:p>
        </w:tc>
        <w:tc>
          <w:tcPr/>
          <w:p>
            <w:pPr>
              <w:pStyle w:val="Compact"/>
              <w:jc w:val="left"/>
            </w:pPr>
            <w:r>
              <w:t xml:space="preserve">3 agreements</w:t>
            </w:r>
          </w:p>
        </w:tc>
        <w:tc>
          <w:tcPr/>
          <w:p>
            <w:pPr>
              <w:pStyle w:val="Compact"/>
              <w:jc w:val="left"/>
            </w:pPr>
            <w:r>
              <w:t xml:space="preserve">$28,500.00</w:t>
            </w:r>
          </w:p>
        </w:tc>
        <w:tc>
          <w:tcPr/>
          <w:p>
            <w:pPr>
              <w:pStyle w:val="Compact"/>
              <w:jc w:val="left"/>
            </w:pPr>
            <w:r>
              <w:t xml:space="preserve">$85,500.00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Representation and defense of the Buyer in a labor dispute before the Centro de Conciliación y Arbitraje Laboral de la Ciudad de México. The Lawyer shall attend all hearings, file motions, and negotiate settlement terms on behalf of the Buyer.</w:t>
            </w:r>
          </w:p>
        </w:tc>
        <w:tc>
          <w:tcPr/>
          <w:p>
            <w:pPr>
              <w:pStyle w:val="Compact"/>
              <w:jc w:val="left"/>
            </w:pPr>
            <w:r>
              <w:t xml:space="preserve">1 matter</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Ongoing (est. 4 months)</w:t>
            </w:r>
          </w:p>
        </w:tc>
      </w:tr>
      <w:tr>
        <w:tc>
          <w:tcPr/>
          <w:p>
            <w:pPr>
              <w:pStyle w:val="Compact"/>
              <w:jc w:val="left"/>
            </w:pPr>
            <w:r>
              <w:t xml:space="preserve">3</w:t>
            </w:r>
          </w:p>
        </w:tc>
        <w:tc>
          <w:tcPr/>
          <w:p>
            <w:pPr>
              <w:pStyle w:val="Compact"/>
              <w:jc w:val="left"/>
            </w:pPr>
            <w:r>
              <w:t xml:space="preserve">Corporate governance advisory: review of bylaws, shareholder agreements, and board resolutions in accordance with the Ley General de Sociedades Mercantiles. The Lawyer shall provide a written legal opinion and attend one in-person consultation at the Buyer's offices in Mexico City.</w:t>
            </w:r>
          </w:p>
        </w:tc>
        <w:tc>
          <w:tcPr/>
          <w:p>
            <w:pPr>
              <w:pStyle w:val="Compact"/>
              <w:jc w:val="left"/>
            </w:pPr>
            <w:r>
              <w:t xml:space="preserve">1 engagement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August 1, 2025</w:t>
            </w:r>
          </w:p>
        </w:tc>
      </w:tr>
      <w:tr>
        <w:tc>
          <w:tcPr/>
          <w:p>
            <w:pPr>
              <w:pStyle w:val="Compact"/>
              <w:jc w:val="left"/>
            </w:pPr>
            <w:r>
              <w:t xml:space="preserve">4</w:t>
            </w:r>
          </w:p>
        </w:tc>
        <w:tc>
          <w:tcPr/>
          <w:p>
            <w:pPr>
              <w:pStyle w:val="Compact"/>
              <w:jc w:val="left"/>
            </w:pPr>
            <w:r>
              <w:t xml:space="preserve">Intellectual property registration: filing and prosecution of two trademark applications before the Instituto Mexicano de la Propiedad Industrial (IMPI), located in Mexico City, Mexico. The Lawyer shall manage all correspondence, respond to office actions, and ensure successful registration.</w:t>
            </w:r>
          </w:p>
        </w:tc>
        <w:tc>
          <w:tcPr/>
          <w:p>
            <w:pPr>
              <w:pStyle w:val="Compact"/>
              <w:jc w:val="left"/>
            </w:pPr>
            <w:r>
              <w:t xml:space="preserve">2 trademarks</w:t>
            </w:r>
          </w:p>
        </w:tc>
        <w:tc>
          <w:tcPr/>
          <w:p>
            <w:pPr>
              <w:pStyle w:val="Compact"/>
              <w:jc w:val="left"/>
            </w:pPr>
            <w:r>
              <w:t xml:space="preserve">$18,750.00</w:t>
            </w:r>
          </w:p>
        </w:tc>
        <w:tc>
          <w:tcPr/>
          <w:p>
            <w:pPr>
              <w:pStyle w:val="Compact"/>
              <w:jc w:val="left"/>
            </w:pPr>
            <w:r>
              <w:t xml:space="preserve">$37,500.00</w:t>
            </w:r>
          </w:p>
        </w:tc>
        <w:tc>
          <w:tcPr/>
          <w:p>
            <w:pPr>
              <w:pStyle w:val="Compact"/>
              <w:jc w:val="left"/>
            </w:pPr>
            <w:r>
              <w:t xml:space="preserve">September 30, 2025</w:t>
            </w:r>
          </w:p>
        </w:tc>
      </w:tr>
      <w:tr>
        <w:tc>
          <w:tcPr/>
          <w:p>
            <w:pPr>
              <w:pStyle w:val="Compact"/>
              <w:jc w:val="left"/>
            </w:pPr>
            <w:r>
              <w:t xml:space="preserve">5</w:t>
            </w:r>
          </w:p>
        </w:tc>
        <w:tc>
          <w:tcPr/>
          <w:p>
            <w:pPr>
              <w:pStyle w:val="Compact"/>
              <w:jc w:val="left"/>
            </w:pPr>
            <w:r>
              <w:t xml:space="preserve">Monthly retainer for general legal counsel: availability for up to 10 hours per month of consultation, email correspondence, and document review. The Lawyer shall respond to all inquiries within 24 business hours. Services rendered in Mexico City, Mexico.</w:t>
            </w:r>
          </w:p>
        </w:tc>
        <w:tc>
          <w:tcPr/>
          <w:p>
            <w:pPr>
              <w:pStyle w:val="Compact"/>
              <w:jc w:val="left"/>
            </w:pPr>
            <w:r>
              <w:t xml:space="preserve">6 months</w:t>
            </w:r>
          </w:p>
        </w:tc>
        <w:tc>
          <w:tcPr/>
          <w:p>
            <w:pPr>
              <w:pStyle w:val="Compact"/>
              <w:jc w:val="left"/>
            </w:pPr>
            <w:r>
              <w:t xml:space="preserve">$22,000.00</w:t>
            </w:r>
          </w:p>
        </w:tc>
        <w:tc>
          <w:tcPr/>
          <w:p>
            <w:pPr>
              <w:pStyle w:val="Compact"/>
              <w:jc w:val="left"/>
            </w:pPr>
            <w:r>
              <w:t xml:space="preserve">$132,000.00</w:t>
            </w:r>
          </w:p>
        </w:tc>
        <w:tc>
          <w:tcPr/>
          <w:p>
            <w:pPr>
              <w:pStyle w:val="Compact"/>
              <w:jc w:val="left"/>
            </w:pPr>
            <w:r>
              <w:t xml:space="preserve">June 2025 – Nov 2025</w:t>
            </w:r>
          </w:p>
        </w:tc>
      </w:tr>
      <w:tr>
        <w:tc>
          <w:tcPr>
            <w:gridSpan w:val="4"/>
          </w:tcPr>
          <w:p>
            <w:pPr>
              <w:pStyle w:val="Compact"/>
              <w:jc w:val="left"/>
            </w:pPr>
            <w:r>
              <w:t xml:space="preserve">SUBTOTAL</w:t>
            </w:r>
          </w:p>
        </w:tc>
        <w:tc>
          <w:tcPr/>
          <w:p>
            <w:pPr>
              <w:pStyle w:val="Compact"/>
              <w:jc w:val="left"/>
            </w:pPr>
            <w:r>
              <w:t xml:space="preserve">$420,000.00</w:t>
            </w:r>
          </w:p>
        </w:tc>
        <w:tc>
          <w:tcPr/>
          <w:p>
            <w:pPr>
              <w:pStyle w:val="Compact"/>
            </w:pPr>
          </w:p>
        </w:tc>
      </w:tr>
      <w:tr>
        <w:tc>
          <w:tcPr>
            <w:gridSpan w:val="4"/>
          </w:tcPr>
          <w:p>
            <w:pPr>
              <w:pStyle w:val="Compact"/>
              <w:jc w:val="left"/>
            </w:pPr>
            <w:r>
              <w:t xml:space="preserve">IVA (16% Value Added Tax)</w:t>
            </w:r>
          </w:p>
        </w:tc>
        <w:tc>
          <w:tcPr/>
          <w:p>
            <w:pPr>
              <w:pStyle w:val="Compact"/>
              <w:jc w:val="left"/>
            </w:pPr>
            <w:r>
              <w:t xml:space="preserve">$67,200.00</w:t>
            </w:r>
          </w:p>
        </w:tc>
        <w:tc>
          <w:tcPr/>
          <w:p>
            <w:pPr>
              <w:pStyle w:val="Compact"/>
            </w:pPr>
          </w:p>
        </w:tc>
      </w:tr>
      <w:tr>
        <w:tc>
          <w:tcPr>
            <w:gridSpan w:val="4"/>
          </w:tcPr>
          <w:p>
            <w:pPr>
              <w:pStyle w:val="Compact"/>
              <w:jc w:val="left"/>
            </w:pPr>
            <w:r>
              <w:rPr>
                <w:bCs/>
                <w:b/>
              </w:rPr>
              <w:t xml:space="preserve">TOTAL AMOUNT DUE (MXN)</w:t>
            </w:r>
          </w:p>
        </w:tc>
        <w:tc>
          <w:tcPr/>
          <w:p>
            <w:pPr>
              <w:pStyle w:val="Compact"/>
              <w:jc w:val="left"/>
            </w:pPr>
            <w:r>
              <w:rPr>
                <w:bCs/>
                <w:b/>
              </w:rPr>
              <w:t xml:space="preserve">$487,200.00</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United Mexican States, with specific application of the regulations of Mexico City, Mexico. Any disputes arising from this Purchase Order shall be resolved before the competent courts of Mexico City, Mexico, or through arbitration at the Centro de Arbitraje de la Ciudad de México, at the Buyer's sole discretion.</w:t>
      </w:r>
    </w:p>
    <w:p>
      <w:pPr>
        <w:numPr>
          <w:ilvl w:val="0"/>
          <w:numId w:val="1001"/>
        </w:numPr>
        <w:pStyle w:val="Compact"/>
      </w:pPr>
      <w:r>
        <w:rPr>
          <w:bCs/>
          <w:b/>
        </w:rPr>
        <w:t xml:space="preserve">Professional Liability:</w:t>
      </w:r>
      <w:r>
        <w:t xml:space="preserve"> </w:t>
      </w:r>
      <w:r>
        <w:t xml:space="preserve">The Lawyer acknowledges that all services rendered under this Purchase Order shall be performed with the due diligence, competence, and ethical standards required by the Código de Ética Profesional del Abogado de la Ciudad de México. The Lawyer shall maintain professional liability insurance with a minimum coverage of MXN $2,000,000 for the duration of this engagement.</w:t>
      </w:r>
    </w:p>
    <w:p>
      <w:pPr>
        <w:numPr>
          <w:ilvl w:val="0"/>
          <w:numId w:val="1001"/>
        </w:numPr>
        <w:pStyle w:val="Compact"/>
      </w:pPr>
      <w:r>
        <w:rPr>
          <w:bCs/>
          <w:b/>
        </w:rPr>
        <w:t xml:space="preserve">Confidentiality:</w:t>
      </w:r>
      <w:r>
        <w:t xml:space="preserve"> </w:t>
      </w:r>
      <w:r>
        <w:t xml:space="preserve">The Lawyer agrees to maintain strict confidentiality regarding all information, documents, and trade secrets disclosed by the Buyer in connection with this Purchase Order.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Payment for this Purchase Order shall be made via bank transfer (SPEI) to the Seller's designated account. Invoices shall be issued in accordance with the SAT (Servicio de Administración Tributaria) electronic invoicing requirements (CFDI 4.0). Payment is due within thirty (30) calendar days from the date of invoice receipt.</w:t>
      </w:r>
    </w:p>
    <w:p>
      <w:pPr>
        <w:numPr>
          <w:ilvl w:val="0"/>
          <w:numId w:val="1001"/>
        </w:numPr>
        <w:pStyle w:val="Compact"/>
      </w:pPr>
      <w:r>
        <w:rPr>
          <w:bCs/>
          <w:b/>
        </w:rPr>
        <w:t xml:space="preserve">Scope Limitations:</w:t>
      </w:r>
      <w:r>
        <w:t xml:space="preserve"> </w:t>
      </w:r>
      <w:r>
        <w:t xml:space="preserve">The services described in this Purchase Order are limited to the specific line items enumerated above. Any additional legal work requested by the Buyer beyond the stated scope shall require a written amendment to this Purchase Order, signed by both parties, prior to commencement of such additional work.</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Buyer shall pay for all services rendered up to the effective date of termination. The Lawyer shall deliver all work product and documents to the Buyer within fifteen (15) days of termination.</w:t>
      </w:r>
    </w:p>
    <w:p>
      <w:pPr>
        <w:numPr>
          <w:ilvl w:val="0"/>
          <w:numId w:val="1001"/>
        </w:numPr>
        <w:pStyle w:val="Compact"/>
      </w:pPr>
      <w:r>
        <w:rPr>
          <w:bCs/>
          <w:b/>
        </w:rPr>
        <w:t xml:space="preserve">Compliance with Mexican Regulations:</w:t>
      </w:r>
      <w:r>
        <w:t xml:space="preserve"> </w:t>
      </w:r>
      <w:r>
        <w:t xml:space="preserve">The Lawyer warrants that all services shall comply with the Ley Federal de Protección de Datos Personales en Posesión de los Particulares, the regulations of the Colegio de Abogados de la Ciudad de México, and all applicable tax obligations before the SAT in Mexico City, Mexico.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Mexico City, Mexico.</w:t>
      </w:r>
    </w:p>
    <w:bookmarkEnd w:id="25"/>
    <w:bookmarkStart w:id="26" w:name="authorization-and-acceptance"/>
    <w:p>
      <w:pPr>
        <w:pStyle w:val="Heading2"/>
      </w:pPr>
      <w:r>
        <w:t xml:space="preserve">Authorization and Acceptance</w:t>
      </w:r>
    </w:p>
    <w:p>
      <w:pPr>
        <w:pStyle w:val="FirstParagraph"/>
      </w:pPr>
      <w:r>
        <w:t xml:space="preserve">By signing below, the Buyer authorizes the issuance of this Purchase Order for the legal services described herein, and the Lawyer (Seller) accepts the engagement and agrees to perform the services in accordance with the terms, conditions, and deadlines set forth in this Purchase Order. Both parties acknowledge that this document constitutes a binding contractual agreement for the provision of professional legal services in Mexico City, Mexico.</w:t>
      </w:r>
    </w:p>
    <w:p>
      <w:pPr>
        <w:pStyle w:val="BodyText"/>
      </w:pPr>
      <w:r>
        <w:rPr>
          <w:bCs/>
          <w:b/>
        </w:rPr>
        <w:t xml:space="preserve">FOR THE BUYER</w:t>
      </w:r>
      <w:r>
        <w:br/>
      </w:r>
      <w:r>
        <w:t xml:space="preserve">Lic. María Fernanda Gutiérrez</w:t>
      </w:r>
      <w:r>
        <w:br/>
      </w:r>
      <w:r>
        <w:t xml:space="preserve">Director General</w:t>
      </w:r>
      <w:r>
        <w:br/>
      </w:r>
      <w:r>
        <w:t xml:space="preserve">Grupo Industrial del Valle, S.A. de C.V.</w:t>
      </w:r>
      <w:r>
        <w:br/>
      </w:r>
      <w:r>
        <w:t xml:space="preserve">Date: ______________________</w:t>
      </w:r>
    </w:p>
    <w:p>
      <w:pPr>
        <w:pStyle w:val="BodyText"/>
      </w:pPr>
      <w:r>
        <w:rPr>
          <w:bCs/>
          <w:b/>
        </w:rPr>
        <w:t xml:space="preserve">FOR THE SELLER (LAWYER)</w:t>
      </w:r>
      <w:r>
        <w:br/>
      </w:r>
      <w:r>
        <w:t xml:space="preserve">Mtro. Jorge Luis Herrera Mendoza</w:t>
      </w:r>
      <w:r>
        <w:br/>
      </w:r>
      <w:r>
        <w:t xml:space="preserve">Socio Director</w:t>
      </w:r>
      <w:r>
        <w:br/>
      </w:r>
      <w:r>
        <w:t xml:space="preserve">Despacho Jurídico Herrera &amp; Asociados, S.C.</w:t>
      </w:r>
      <w:r>
        <w:br/>
      </w:r>
      <w:r>
        <w:t xml:space="preserve">Date: ______________________</w:t>
      </w:r>
    </w:p>
    <w:p>
      <w:pPr>
        <w:pStyle w:val="BodyText"/>
      </w:pPr>
      <w:r>
        <w:t xml:space="preserve">Purchase Order PO-MX-2025-04872 | Issued in Mexico City, Mexico | This document is valid only when signed by both parties and accompanied by a valid CFDI invoice.</w:t>
      </w:r>
    </w:p>
    <w:p>
      <w:pPr>
        <w:pStyle w:val="BodyText"/>
      </w:pPr>
      <w:r>
        <w:t xml:space="preserve">Despacho Jurídico Herrera &amp; Asociados, S.C. — Calle Orizaba 45, Col. Juárez, 06600 Mexico City, CDMX, Mexico | Tel: +52 (55) 5516-3320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Mexico City</dc:title>
  <dc:creator/>
  <dc:language>en</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