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Amsterdam,</w:t>
      </w:r>
      <w:r>
        <w:t xml:space="preserve"> </w:t>
      </w:r>
      <w:r>
        <w:t xml:space="preserve">Netherlands</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PO-AMS-2025-04872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Jurisdiction:</w:t>
      </w:r>
      <w:r>
        <w:t xml:space="preserve"> </w:t>
      </w:r>
      <w:r>
        <w:t xml:space="preserve">Netherlands (Koninkrijk der Nederlanden)</w:t>
      </w:r>
    </w:p>
    <w:p>
      <w:pPr>
        <w:pStyle w:val="BodyText"/>
      </w:pPr>
      <w:r>
        <w:rPr>
          <w:bCs/>
          <w:b/>
        </w:rPr>
        <w:t xml:space="preserve">Classification:</w:t>
      </w:r>
      <w:r>
        <w:t xml:space="preserve"> </w:t>
      </w:r>
      <w:r>
        <w:t xml:space="preserve">Confidential</w:t>
      </w:r>
      <w:r>
        <w:br/>
      </w:r>
      <w:r>
        <w:rPr>
          <w:bCs/>
          <w:b/>
        </w:rPr>
        <w:t xml:space="preserve">Reference:</w:t>
      </w:r>
      <w:r>
        <w:t xml:space="preserve"> </w:t>
      </w:r>
      <w:r>
        <w:t xml:space="preserve">Legal Services – Amsterdam</w:t>
      </w:r>
      <w:r>
        <w:br/>
      </w:r>
      <w:r>
        <w:rPr>
          <w:bCs/>
          <w:b/>
        </w:rPr>
        <w:t xml:space="preserve">PO Status:</w:t>
      </w:r>
      <w:r>
        <w:t xml:space="preserve"> </w:t>
      </w:r>
      <w:r>
        <w:t xml:space="preserve">Pending Approval</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Van der Berg &amp; Partners B.V.</w:t>
            </w:r>
          </w:p>
        </w:tc>
      </w:tr>
      <w:tr>
        <w:tc>
          <w:tcPr/>
          <w:p>
            <w:pPr>
              <w:pStyle w:val="Compact"/>
              <w:jc w:val="left"/>
            </w:pPr>
            <w:r>
              <w:t xml:space="preserve">Address</w:t>
            </w:r>
          </w:p>
        </w:tc>
        <w:tc>
          <w:tcPr/>
          <w:p>
            <w:pPr>
              <w:pStyle w:val="Compact"/>
              <w:jc w:val="left"/>
            </w:pPr>
            <w:r>
              <w:t xml:space="preserve">Herengracht 412, 1017 BX Amsterdam, Netherlands</w:t>
            </w:r>
          </w:p>
        </w:tc>
      </w:tr>
      <w:tr>
        <w:tc>
          <w:tcPr/>
          <w:p>
            <w:pPr>
              <w:pStyle w:val="Compact"/>
              <w:jc w:val="left"/>
            </w:pPr>
            <w:r>
              <w:t xml:space="preserve">Chamber of Commerce (KvK)</w:t>
            </w:r>
          </w:p>
        </w:tc>
        <w:tc>
          <w:tcPr/>
          <w:p>
            <w:pPr>
              <w:pStyle w:val="Compact"/>
              <w:jc w:val="left"/>
            </w:pPr>
            <w:r>
              <w:t xml:space="preserve">NL-87654321-0000</w:t>
            </w:r>
          </w:p>
        </w:tc>
      </w:tr>
      <w:tr>
        <w:tc>
          <w:tcPr/>
          <w:p>
            <w:pPr>
              <w:pStyle w:val="Compact"/>
              <w:jc w:val="left"/>
            </w:pPr>
            <w:r>
              <w:t xml:space="preserve">VAT Number</w:t>
            </w:r>
          </w:p>
        </w:tc>
        <w:tc>
          <w:tcPr/>
          <w:p>
            <w:pPr>
              <w:pStyle w:val="Compact"/>
              <w:jc w:val="left"/>
            </w:pPr>
            <w:r>
              <w:t xml:space="preserve">NL861234567B01</w:t>
            </w:r>
          </w:p>
        </w:tc>
      </w:tr>
      <w:tr>
        <w:tc>
          <w:tcPr/>
          <w:p>
            <w:pPr>
              <w:pStyle w:val="Compact"/>
              <w:jc w:val="left"/>
            </w:pPr>
            <w:r>
              <w:t xml:space="preserve">Contact Person</w:t>
            </w:r>
          </w:p>
        </w:tc>
        <w:tc>
          <w:tcPr/>
          <w:p>
            <w:pPr>
              <w:pStyle w:val="Compact"/>
              <w:jc w:val="left"/>
            </w:pPr>
            <w:r>
              <w:t xml:space="preserve">Mr. Jeroen van der Berg, Managing Director</w:t>
            </w:r>
          </w:p>
        </w:tc>
      </w:tr>
      <w:tr>
        <w:tc>
          <w:tcPr/>
          <w:p>
            <w:pPr>
              <w:pStyle w:val="Compact"/>
              <w:jc w:val="left"/>
            </w:pPr>
            <w:r>
              <w:t xml:space="preserve">Email</w:t>
            </w:r>
          </w:p>
        </w:tc>
        <w:tc>
          <w:tcPr/>
          <w:p>
            <w:pPr>
              <w:pStyle w:val="Compact"/>
              <w:jc w:val="left"/>
            </w:pPr>
            <w:r>
              <w:t xml:space="preserve">procurement@vandenbergpartners.nl</w:t>
            </w:r>
          </w:p>
        </w:tc>
      </w:tr>
      <w:tr>
        <w:tc>
          <w:tcPr/>
          <w:p>
            <w:pPr>
              <w:pStyle w:val="Compact"/>
              <w:jc w:val="left"/>
            </w:pPr>
            <w:r>
              <w:t xml:space="preserve">Telephone</w:t>
            </w:r>
          </w:p>
        </w:tc>
        <w:tc>
          <w:tcPr/>
          <w:p>
            <w:pPr>
              <w:pStyle w:val="Compact"/>
              <w:jc w:val="left"/>
            </w:pPr>
            <w:r>
              <w:t xml:space="preserve">+31 (0)20 555 0142</w:t>
            </w:r>
          </w:p>
        </w:tc>
      </w:tr>
    </w:tbl>
    <w:bookmarkEnd w:id="20"/>
    <w:bookmarkStart w:id="21" w:name="seller-service-provider-information"/>
    <w:p>
      <w:pPr>
        <w:pStyle w:val="Heading2"/>
      </w:pPr>
      <w:r>
        <w:t xml:space="preserve">2.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Firm Name</w:t>
            </w:r>
          </w:p>
        </w:tc>
        <w:tc>
          <w:tcPr/>
          <w:p>
            <w:pPr>
              <w:pStyle w:val="Compact"/>
              <w:jc w:val="left"/>
            </w:pPr>
            <w:r>
              <w:t xml:space="preserve">De Vries &amp; Jansen Advocaten (Lawyers)</w:t>
            </w:r>
          </w:p>
        </w:tc>
      </w:tr>
      <w:tr>
        <w:tc>
          <w:tcPr/>
          <w:p>
            <w:pPr>
              <w:pStyle w:val="Compact"/>
              <w:jc w:val="left"/>
            </w:pPr>
            <w:r>
              <w:t xml:space="preserve">Address</w:t>
            </w:r>
          </w:p>
        </w:tc>
        <w:tc>
          <w:tcPr/>
          <w:p>
            <w:pPr>
              <w:pStyle w:val="Compact"/>
              <w:jc w:val="left"/>
            </w:pPr>
            <w:r>
              <w:t xml:space="preserve">Keizersgracht 89, 1015 CJ Amsterdam, Netherlands</w:t>
            </w:r>
          </w:p>
        </w:tc>
      </w:tr>
      <w:tr>
        <w:tc>
          <w:tcPr/>
          <w:p>
            <w:pPr>
              <w:pStyle w:val="Compact"/>
              <w:jc w:val="left"/>
            </w:pPr>
            <w:r>
              <w:t xml:space="preserve">Chamber of Commerce (KvK)</w:t>
            </w:r>
          </w:p>
        </w:tc>
        <w:tc>
          <w:tcPr/>
          <w:p>
            <w:pPr>
              <w:pStyle w:val="Compact"/>
              <w:jc w:val="left"/>
            </w:pPr>
            <w:r>
              <w:t xml:space="preserve">NL-91234567-0000</w:t>
            </w:r>
          </w:p>
        </w:tc>
      </w:tr>
      <w:tr>
        <w:tc>
          <w:tcPr/>
          <w:p>
            <w:pPr>
              <w:pStyle w:val="Compact"/>
              <w:jc w:val="left"/>
            </w:pPr>
            <w:r>
              <w:t xml:space="preserve">VAT Number</w:t>
            </w:r>
          </w:p>
        </w:tc>
        <w:tc>
          <w:tcPr/>
          <w:p>
            <w:pPr>
              <w:pStyle w:val="Compact"/>
              <w:jc w:val="left"/>
            </w:pPr>
            <w:r>
              <w:t xml:space="preserve">NL872345678B01</w:t>
            </w:r>
          </w:p>
        </w:tc>
      </w:tr>
      <w:tr>
        <w:tc>
          <w:tcPr/>
          <w:p>
            <w:pPr>
              <w:pStyle w:val="Compact"/>
              <w:jc w:val="left"/>
            </w:pPr>
            <w:r>
              <w:t xml:space="preserve">Lead Lawyer</w:t>
            </w:r>
          </w:p>
        </w:tc>
        <w:tc>
          <w:tcPr/>
          <w:p>
            <w:pPr>
              <w:pStyle w:val="Compact"/>
              <w:jc w:val="left"/>
            </w:pPr>
            <w:r>
              <w:t xml:space="preserve">Mr. Sander de Vries, Esq. (Advocaat)</w:t>
            </w:r>
          </w:p>
        </w:tc>
      </w:tr>
      <w:tr>
        <w:tc>
          <w:tcPr/>
          <w:p>
            <w:pPr>
              <w:pStyle w:val="Compact"/>
              <w:jc w:val="left"/>
            </w:pPr>
            <w:r>
              <w:t xml:space="preserve">Bar Registration</w:t>
            </w:r>
          </w:p>
        </w:tc>
        <w:tc>
          <w:tcPr/>
          <w:p>
            <w:pPr>
              <w:pStyle w:val="Compact"/>
              <w:jc w:val="left"/>
            </w:pPr>
            <w:r>
              <w:t xml:space="preserve">Orde van Advocaten – Amsterdam District, Reg. No. ADV-2003-1187</w:t>
            </w:r>
          </w:p>
        </w:tc>
      </w:tr>
      <w:tr>
        <w:tc>
          <w:tcPr/>
          <w:p>
            <w:pPr>
              <w:pStyle w:val="Compact"/>
              <w:jc w:val="left"/>
            </w:pPr>
            <w:r>
              <w:t xml:space="preserve">Email</w:t>
            </w:r>
          </w:p>
        </w:tc>
        <w:tc>
          <w:tcPr/>
          <w:p>
            <w:pPr>
              <w:pStyle w:val="Compact"/>
              <w:jc w:val="left"/>
            </w:pPr>
            <w:r>
              <w:t xml:space="preserve">intake@devriesjansen.nl</w:t>
            </w:r>
          </w:p>
        </w:tc>
      </w:tr>
      <w:tr>
        <w:tc>
          <w:tcPr/>
          <w:p>
            <w:pPr>
              <w:pStyle w:val="Compact"/>
              <w:jc w:val="left"/>
            </w:pPr>
            <w:r>
              <w:t xml:space="preserve">Telephone</w:t>
            </w:r>
          </w:p>
        </w:tc>
        <w:tc>
          <w:tcPr/>
          <w:p>
            <w:pPr>
              <w:pStyle w:val="Compact"/>
              <w:jc w:val="left"/>
            </w:pPr>
            <w:r>
              <w:t xml:space="preserve">+31 (0)20 555 0387</w:t>
            </w:r>
          </w:p>
        </w:tc>
      </w:tr>
    </w:tbl>
    <w:bookmarkEnd w:id="21"/>
    <w:bookmarkStart w:id="22" w:name="description-of-purchase-legal-services"/>
    <w:p>
      <w:pPr>
        <w:pStyle w:val="Heading2"/>
      </w:pPr>
      <w:r>
        <w:t xml:space="preserve">3. Description of Purchase – Legal Services</w:t>
      </w:r>
    </w:p>
    <w:p>
      <w:pPr>
        <w:pStyle w:val="FirstParagraph"/>
      </w:pPr>
      <w:r>
        <w:t xml:space="preserve">This Purchase Order is issued by Van der Berg &amp; Partners B.V. (hereinafter referred to as the "Buyer") to De Vries &amp; Jansen Advocaten (hereinafter referred to as the "Lawyer" or "Service Provider") for the provision of comprehensive legal advisory and representation services. The Lawyer shall act as the Buyer's retained legal counsel for all matters arising within the jurisdiction of Amsterdam, Netherlands, and shall comply with all applicable Dutch legal regulations, including but not limited to the</w:t>
      </w:r>
      <w:r>
        <w:t xml:space="preserve"> </w:t>
      </w:r>
      <w:r>
        <w:rPr>
          <w:iCs/>
          <w:i/>
        </w:rPr>
        <w:t xml:space="preserve">Besluit op de advocatuur</w:t>
      </w:r>
      <w:r>
        <w:t xml:space="preserve"> </w:t>
      </w:r>
      <w:r>
        <w:t xml:space="preserve">(Advocacy Act) and the professional code of conduct established by the</w:t>
      </w:r>
      <w:r>
        <w:t xml:space="preserve"> </w:t>
      </w:r>
      <w:r>
        <w:rPr>
          <w:iCs/>
          <w:i/>
        </w:rPr>
        <w:t xml:space="preserve">Orde van Advocaten</w:t>
      </w:r>
      <w:r>
        <w:t xml:space="preserve"> </w:t>
      </w:r>
      <w:r>
        <w:t xml:space="preserve">(Bar Association of the Netherlands).</w:t>
      </w:r>
    </w:p>
    <w:p>
      <w:pPr>
        <w:pStyle w:val="BodyText"/>
      </w:pPr>
      <w:r>
        <w:t xml:space="preserve">The Lawyer is engaged to provide the following specific services as outlined in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Corporate legal advisory regarding the restructuring of the Buyer's Amsterdam headquarters operations, including review of all existing contracts, employment agreements, and leasehold arrangements under Dutch civil law (Burgerlijk Wetboek).</w:t>
            </w:r>
          </w:p>
        </w:tc>
        <w:tc>
          <w:tcPr/>
          <w:p>
            <w:pPr>
              <w:pStyle w:val="Compact"/>
              <w:jc w:val="left"/>
            </w:pPr>
            <w:r>
              <w:t xml:space="preserve">40 hours</w:t>
            </w:r>
          </w:p>
        </w:tc>
        <w:tc>
          <w:tcPr/>
          <w:p>
            <w:pPr>
              <w:pStyle w:val="Compact"/>
              <w:jc w:val="left"/>
            </w:pPr>
            <w:r>
              <w:t xml:space="preserve">€225.00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Representation and negotiation of a commercial lease agreement for a new office space at Prinsengracht 203, Amsterdam, including due diligence on property title, zoning compliance with the Amsterdam municipal planning code (Bestemmingsplan), and negotiation of rent escalation clauses.</w:t>
            </w:r>
          </w:p>
        </w:tc>
        <w:tc>
          <w:tcPr/>
          <w:p>
            <w:pPr>
              <w:pStyle w:val="Compact"/>
              <w:jc w:val="left"/>
            </w:pPr>
            <w:r>
              <w:t xml:space="preserve">25 hours</w:t>
            </w:r>
          </w:p>
        </w:tc>
        <w:tc>
          <w:tcPr/>
          <w:p>
            <w:pPr>
              <w:pStyle w:val="Compact"/>
              <w:jc w:val="left"/>
            </w:pPr>
            <w:r>
              <w:t xml:space="preserve">€225.00</w:t>
            </w:r>
          </w:p>
        </w:tc>
        <w:tc>
          <w:tcPr/>
          <w:p>
            <w:pPr>
              <w:pStyle w:val="Compact"/>
              <w:jc w:val="left"/>
            </w:pPr>
            <w:r>
              <w:t xml:space="preserve">€5,625.00</w:t>
            </w:r>
          </w:p>
        </w:tc>
      </w:tr>
      <w:tr>
        <w:tc>
          <w:tcPr/>
          <w:p>
            <w:pPr>
              <w:pStyle w:val="Compact"/>
              <w:jc w:val="left"/>
            </w:pPr>
            <w:r>
              <w:t xml:space="preserve">3</w:t>
            </w:r>
          </w:p>
        </w:tc>
        <w:tc>
          <w:tcPr/>
          <w:p>
            <w:pPr>
              <w:pStyle w:val="Compact"/>
              <w:jc w:val="left"/>
            </w:pPr>
            <w:r>
              <w:t xml:space="preserve">Preparation and filing of a formal objection (bezwaar) before the Amsterdam Municipal Tax Authority (Gemeente Amsterdam – Belastingdienst) regarding the assessment of the Business Property Tax (OZB) for the fiscal year 2024.</w:t>
            </w:r>
          </w:p>
        </w:tc>
        <w:tc>
          <w:tcPr/>
          <w:p>
            <w:pPr>
              <w:pStyle w:val="Compact"/>
              <w:jc w:val="left"/>
            </w:pPr>
            <w:r>
              <w:t xml:space="preserve">15 hours</w:t>
            </w:r>
          </w:p>
        </w:tc>
        <w:tc>
          <w:tcPr/>
          <w:p>
            <w:pPr>
              <w:pStyle w:val="Compact"/>
              <w:jc w:val="left"/>
            </w:pPr>
            <w:r>
              <w:t xml:space="preserve">€225.00</w:t>
            </w:r>
          </w:p>
        </w:tc>
        <w:tc>
          <w:tcPr/>
          <w:p>
            <w:pPr>
              <w:pStyle w:val="Compact"/>
              <w:jc w:val="left"/>
            </w:pPr>
            <w:r>
              <w:t xml:space="preserve">€3,375.00</w:t>
            </w:r>
          </w:p>
        </w:tc>
      </w:tr>
      <w:tr>
        <w:tc>
          <w:tcPr/>
          <w:p>
            <w:pPr>
              <w:pStyle w:val="Compact"/>
              <w:jc w:val="left"/>
            </w:pPr>
            <w:r>
              <w:t xml:space="preserve">4</w:t>
            </w:r>
          </w:p>
        </w:tc>
        <w:tc>
          <w:tcPr/>
          <w:p>
            <w:pPr>
              <w:pStyle w:val="Compact"/>
              <w:jc w:val="left"/>
            </w:pPr>
            <w:r>
              <w:t xml:space="preserve">Drafting and review of three (3) non-disclosure agreements (NDA's) and two (2) service-level agreements (SLA's) for the Buyer's technology division, ensuring compliance with the Dutch Data Protection Act (Uitvoeringswet AVG) and the EU General Data Protection Regulation (GDPR).</w:t>
            </w:r>
          </w:p>
        </w:tc>
        <w:tc>
          <w:tcPr/>
          <w:p>
            <w:pPr>
              <w:pStyle w:val="Compact"/>
              <w:jc w:val="left"/>
            </w:pPr>
            <w:r>
              <w:t xml:space="preserve">20 hours</w:t>
            </w:r>
          </w:p>
        </w:tc>
        <w:tc>
          <w:tcPr/>
          <w:p>
            <w:pPr>
              <w:pStyle w:val="Compact"/>
              <w:jc w:val="left"/>
            </w:pPr>
            <w:r>
              <w:t xml:space="preserve">€225.00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General legal counsel and on-call availability for the Buyer's management team, including telephone consultations, email correspondence, and attendance at up to four (4) board meetings per quarter held in Amsterdam.</w:t>
            </w:r>
          </w:p>
        </w:tc>
        <w:tc>
          <w:tcPr/>
          <w:p>
            <w:pPr>
              <w:pStyle w:val="Compact"/>
              <w:jc w:val="left"/>
            </w:pPr>
            <w:r>
              <w:t xml:space="preserve">12 months</w:t>
            </w:r>
          </w:p>
        </w:tc>
        <w:tc>
          <w:tcPr/>
          <w:p>
            <w:pPr>
              <w:pStyle w:val="Compact"/>
              <w:jc w:val="left"/>
            </w:pPr>
            <w:r>
              <w:t xml:space="preserve">€1,500.00/month</w:t>
            </w:r>
          </w:p>
        </w:tc>
        <w:tc>
          <w:tcPr/>
          <w:p>
            <w:pPr>
              <w:pStyle w:val="Compact"/>
              <w:jc w:val="left"/>
            </w:pPr>
            <w:r>
              <w:t xml:space="preserve">€18,000.00</w:t>
            </w:r>
          </w:p>
        </w:tc>
      </w:tr>
    </w:tbl>
    <w:bookmarkEnd w:id="22"/>
    <w:bookmarkStart w:id="23" w:name="total-purchase-order-value"/>
    <w:p>
      <w:pPr>
        <w:pStyle w:val="Heading2"/>
      </w:pPr>
      <w:r>
        <w:t xml:space="preserve">4. Total Purchase Order Value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 Professional Legal Services</w:t>
            </w:r>
          </w:p>
        </w:tc>
        <w:tc>
          <w:tcPr/>
          <w:p>
            <w:pPr>
              <w:pStyle w:val="Compact"/>
              <w:jc w:val="left"/>
            </w:pPr>
            <w:r>
              <w:t xml:space="preserve">€40,500.00</w:t>
            </w:r>
          </w:p>
        </w:tc>
      </w:tr>
      <w:tr>
        <w:tc>
          <w:tcPr/>
          <w:p>
            <w:pPr>
              <w:pStyle w:val="Compact"/>
              <w:jc w:val="left"/>
            </w:pPr>
            <w:r>
              <w:t xml:space="preserve">VAT (21% – Netherlands Standard Rate)</w:t>
            </w:r>
          </w:p>
        </w:tc>
        <w:tc>
          <w:tcPr/>
          <w:p>
            <w:pPr>
              <w:pStyle w:val="Compact"/>
              <w:jc w:val="left"/>
            </w:pPr>
            <w:r>
              <w:t xml:space="preserve">€8,505.00</w:t>
            </w:r>
          </w:p>
        </w:tc>
      </w:tr>
      <w:tr>
        <w:tc>
          <w:tcPr/>
          <w:p>
            <w:pPr>
              <w:pStyle w:val="Compact"/>
              <w:jc w:val="left"/>
            </w:pPr>
            <w:r>
              <w:rPr>
                <w:bCs/>
                <w:b/>
              </w:rPr>
              <w:t xml:space="preserve">Total Purchase Order Value (incl. VAT)</w:t>
            </w:r>
          </w:p>
        </w:tc>
        <w:tc>
          <w:tcPr/>
          <w:p>
            <w:pPr>
              <w:pStyle w:val="Compact"/>
              <w:jc w:val="left"/>
            </w:pPr>
            <w:r>
              <w:rPr>
                <w:bCs/>
                <w:b/>
              </w:rPr>
              <w:t xml:space="preserve">€49,005.00</w:t>
            </w:r>
          </w:p>
        </w:tc>
      </w:tr>
    </w:tbl>
    <w:bookmarkEnd w:id="23"/>
    <w:bookmarkStart w:id="24" w:name="terms-and-conditions"/>
    <w:p>
      <w:pPr>
        <w:pStyle w:val="Heading2"/>
      </w:pPr>
      <w:r>
        <w:t xml:space="preserve">5. Terms and Conditions</w:t>
      </w:r>
    </w:p>
    <w:p>
      <w:pPr>
        <w:pStyle w:val="FirstParagraph"/>
      </w:pPr>
      <w:r>
        <w:t xml:space="preserve">The following terms and conditions govern this Purchase Order and the engagement of the Lawyer:</w:t>
      </w:r>
    </w:p>
    <w:p>
      <w:pPr>
        <w:numPr>
          <w:ilvl w:val="0"/>
          <w:numId w:val="1001"/>
        </w:numPr>
        <w:pStyle w:val="Compact"/>
      </w:pPr>
      <w:r>
        <w:rPr>
          <w:bCs/>
          <w:b/>
        </w:rPr>
        <w:t xml:space="preserve">Governing Law:</w:t>
      </w:r>
      <w:r>
        <w:t xml:space="preserve"> </w:t>
      </w:r>
      <w:r>
        <w:t xml:space="preserve">This Purchase Order and all services rendered hereunder shall be governed by and construed in accordance with the laws of the Netherlands. Any disputes arising from this Purchase Order shall be subject to the exclusive jurisdiction of the District Court of Amsterdam (Rechtbank Amsterdam), located at Prinsengracht 412, 1017 BX Amsterdam, Netherlands.</w:t>
      </w:r>
    </w:p>
    <w:p>
      <w:pPr>
        <w:numPr>
          <w:ilvl w:val="0"/>
          <w:numId w:val="1001"/>
        </w:numPr>
        <w:pStyle w:val="Compact"/>
      </w:pPr>
      <w:r>
        <w:rPr>
          <w:bCs/>
          <w:b/>
        </w:rPr>
        <w:t xml:space="preserve">Professional Standards:</w:t>
      </w:r>
      <w:r>
        <w:t xml:space="preserve"> </w:t>
      </w:r>
      <w:r>
        <w:t xml:space="preserve">The Lawyer shall perform all services in accordance with the professional standards set forth by the Orde van Advocaten and shall maintain a valid professional liability insurance policy (beroepsaansprakelijkheidsverzekering) with a minimum coverage of €1,000,000 per claim throughout the duration of this Purchase Order.</w:t>
      </w:r>
    </w:p>
    <w:p>
      <w:pPr>
        <w:numPr>
          <w:ilvl w:val="0"/>
          <w:numId w:val="1001"/>
        </w:numPr>
        <w:pStyle w:val="Compact"/>
      </w:pPr>
      <w:r>
        <w:rPr>
          <w:bCs/>
          <w:b/>
        </w:rPr>
        <w:t xml:space="preserve">Confidentiality:</w:t>
      </w:r>
      <w:r>
        <w:t xml:space="preserve"> </w:t>
      </w:r>
      <w:r>
        <w:t xml:space="preserve">The Lawyer acknowledges that all information received from the Buyer in connection with this Purchase Order is strictly confidential and subject to the attorney-client privilege (advocaatsgeheim) as defined under Article 44 of the Dutch Code of Criminal Procedure (Wetboek van Strafrecht). The Lawyer shall not disclose any such information to third parties without the prior written consent of the Buyer.</w:t>
      </w:r>
    </w:p>
    <w:p>
      <w:pPr>
        <w:numPr>
          <w:ilvl w:val="0"/>
          <w:numId w:val="1001"/>
        </w:numPr>
        <w:pStyle w:val="Compact"/>
      </w:pPr>
      <w:r>
        <w:rPr>
          <w:bCs/>
          <w:b/>
        </w:rPr>
        <w:t xml:space="preserve">Payment Terms:</w:t>
      </w:r>
      <w:r>
        <w:t xml:space="preserve"> </w:t>
      </w:r>
      <w:r>
        <w:t xml:space="preserve">The Buyer shall settle all invoices issued by the Lawyer within thirty (30) calendar days from the date of receipt of a valid invoice. Payment shall be made via bank transfer to the following account: IBAN NL91 ABNA 0417 1643 00, BIC ABNANL2A, held by De Vries &amp; Jansen Advocaten at ABN AMRO Bank, Amsterdam. Late payments shall accrue interest at the statutory rate as defined in Article 6:119 of the Dutch Civil Code.</w:t>
      </w:r>
    </w:p>
    <w:p>
      <w:pPr>
        <w:numPr>
          <w:ilvl w:val="0"/>
          <w:numId w:val="1001"/>
        </w:numPr>
        <w:pStyle w:val="Compact"/>
      </w:pPr>
      <w:r>
        <w:rPr>
          <w:bCs/>
          <w:b/>
        </w:rPr>
        <w:t xml:space="preserve">Scope and Changes:</w:t>
      </w:r>
      <w:r>
        <w:t xml:space="preserve"> </w:t>
      </w:r>
      <w:r>
        <w:t xml:space="preserve">Any modification to the scope of services described in this Purchase Order must be agreed upon in writing by both parties. The Buyer reserves the right to request a revised Purchase Order for additional legal services beyond the hours and tasks specified herein.</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Upon termination, the Buyer shall be liable for all services rendered up to the effective date of termination. The Lawyer shall return all documents and files belonging to the Buyer within fourteen (14) days of termination.</w:t>
      </w:r>
    </w:p>
    <w:p>
      <w:pPr>
        <w:numPr>
          <w:ilvl w:val="0"/>
          <w:numId w:val="1001"/>
        </w:numPr>
        <w:pStyle w:val="Compact"/>
      </w:pPr>
      <w:r>
        <w:rPr>
          <w:bCs/>
          <w:b/>
        </w:rPr>
        <w:t xml:space="preserve">Compliance with Amsterdam Municipal Regulations:</w:t>
      </w:r>
      <w:r>
        <w:t xml:space="preserve"> </w:t>
      </w:r>
      <w:r>
        <w:t xml:space="preserve">The Lawyer shall ensure that all legal filings, registrations, and notifications required under the municipal regulations of the City of Amsterdam (Gemeente Amsterdam) are submitted in a timely manner and in the correct format as prescribed by the relevant municipal authority.</w:t>
      </w:r>
    </w:p>
    <w:bookmarkEnd w:id="24"/>
    <w:bookmarkStart w:id="25" w:name="acceptance-and-authorization"/>
    <w:p>
      <w:pPr>
        <w:pStyle w:val="Heading2"/>
      </w:pPr>
      <w:r>
        <w:t xml:space="preserve">6. Acceptance and Authorization</w:t>
      </w:r>
    </w:p>
    <w:p>
      <w:pPr>
        <w:pStyle w:val="FirstParagraph"/>
      </w:pPr>
      <w:r>
        <w:t xml:space="preserve">This Purchase Order constitutes a formal request for the provision of legal services as described herein. By signing below, the Buyer authorizes the Lawyer to commence the engagement upon receipt of this Purchase Order. The Lawyer's acceptance of this Purchase Order shall be confirmed in writing within five (5) business days of receipt.</w:t>
      </w:r>
    </w:p>
    <w:p>
      <w:pPr>
        <w:pStyle w:val="BodyText"/>
      </w:pPr>
      <w:r>
        <w:rPr>
          <w:bCs/>
          <w:b/>
        </w:rPr>
        <w:t xml:space="preserve">For and on behalf of the Buyer:</w:t>
      </w:r>
      <w:r>
        <w:br/>
      </w:r>
      <w:r>
        <w:t xml:space="preserve">Van der Berg &amp; Partners B.V.</w:t>
      </w:r>
      <w:r>
        <w:br/>
      </w:r>
      <w:r>
        <w:br/>
      </w:r>
      <w:r>
        <w:t xml:space="preserve">Name: Jeroen van der Berg</w:t>
      </w:r>
      <w:r>
        <w:br/>
      </w:r>
      <w:r>
        <w:t xml:space="preserve">Title: Managing Director</w:t>
      </w:r>
      <w:r>
        <w:br/>
      </w:r>
      <w:r>
        <w:t xml:space="preserve">Date: _________________________</w:t>
      </w:r>
      <w:r>
        <w:br/>
      </w:r>
      <w:r>
        <w:t xml:space="preserve">Signature: _________________________</w:t>
      </w:r>
      <w:r>
        <w:br/>
      </w:r>
      <w:r>
        <w:t xml:space="preserve">Company Stamp:</w:t>
      </w:r>
    </w:p>
    <w:p>
      <w:pPr>
        <w:pStyle w:val="BodyText"/>
      </w:pPr>
      <w:r>
        <w:rPr>
          <w:bCs/>
          <w:b/>
        </w:rPr>
        <w:t xml:space="preserve">For and on behalf of the Lawyer / Service Provider:</w:t>
      </w:r>
      <w:r>
        <w:br/>
      </w:r>
      <w:r>
        <w:t xml:space="preserve">De Vries &amp; Jansen Advocaten</w:t>
      </w:r>
      <w:r>
        <w:br/>
      </w:r>
      <w:r>
        <w:br/>
      </w:r>
      <w:r>
        <w:t xml:space="preserve">Name: Sander de Vries, Esq.</w:t>
      </w:r>
      <w:r>
        <w:br/>
      </w:r>
      <w:r>
        <w:t xml:space="preserve">Title: Lead Lawyer / Partner</w:t>
      </w:r>
      <w:r>
        <w:br/>
      </w:r>
      <w:r>
        <w:t xml:space="preserve">Date: _________________________</w:t>
      </w:r>
      <w:r>
        <w:br/>
      </w:r>
      <w:r>
        <w:t xml:space="preserve">Signature: _________________________</w:t>
      </w:r>
      <w:r>
        <w:br/>
      </w:r>
      <w:r>
        <w:t xml:space="preserve">Firm Stamp:</w:t>
      </w:r>
    </w:p>
    <w:p>
      <w:pPr>
        <w:pStyle w:val="BodyText"/>
      </w:pPr>
      <w:r>
        <w:rPr>
          <w:bCs/>
          <w:b/>
        </w:rPr>
        <w:t xml:space="preserve">Note:</w:t>
      </w:r>
      <w:r>
        <w:t xml:space="preserve"> </w:t>
      </w:r>
      <w:r>
        <w:t xml:space="preserve">This Purchase Order is issued in accordance with the internal procurement policies of Van der Berg &amp; Partners B.V. and the professional regulations of the Orde van Advocaten. All services described herein are to be performed in Amsterdam, Netherlands, unless otherwise agreed in writing. This document is valid only within the jurisdiction of the Netherlands and does not constitute a binding engagement until countersigned by both parties.</w:t>
      </w:r>
    </w:p>
    <w:p>
      <w:pPr>
        <w:pStyle w:val="BodyText"/>
      </w:pPr>
      <w:r>
        <w:t xml:space="preserve">Purchase Order No. PO-AMS-2025-04872 | Van der Berg &amp; Partners B.V. | Herengracht 412, 1017 BX Amsterdam, Netherlands</w:t>
      </w:r>
      <w:r>
        <w:br/>
      </w:r>
      <w:r>
        <w:t xml:space="preserve">This document is the property of the Buyer. Unauthorized reproduction or distribution is prohibited under Dutch copyright law (Auteurswet 1912).</w:t>
      </w:r>
      <w:r>
        <w:br/>
      </w:r>
      <w:r>
        <w:t xml:space="preserve">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Amsterdam, Netherlands</dc:title>
  <dc:creator/>
  <dc:language>en</dc:language>
  <cp:keywords/>
  <dcterms:created xsi:type="dcterms:W3CDTF">2026-10-10T06:55:00Z</dcterms:created>
  <dcterms:modified xsi:type="dcterms:W3CDTF">2026-10-10T06:55:00Z</dcterms:modified>
</cp:coreProperties>
</file>

<file path=docProps/custom.xml><?xml version="1.0" encoding="utf-8"?>
<Properties xmlns="http://schemas.openxmlformats.org/officeDocument/2006/custom-properties" xmlns:vt="http://schemas.openxmlformats.org/officeDocument/2006/docPropsVTypes"/>
</file>