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Philippines</w:t>
      </w:r>
      <w:r>
        <w:t xml:space="preserve"> </w:t>
      </w:r>
      <w:r>
        <w:t xml:space="preserve">Manila</w:t>
      </w:r>
    </w:p>
    <w:tbl>
      <w:tblPr>
        <w:tblStyle w:val="Table"/>
        <w:tblW w:type="pct" w:w="5000"/>
        <w:tblLook w:firstRow="0" w:lastRow="0" w:firstColumn="0" w:lastColumn="0" w:noHBand="0" w:noVBand="0" w:val="0000"/>
      </w:tblPr>
      <w:tblGrid>
        <w:gridCol w:w="3960"/>
        <w:gridCol w:w="3960"/>
      </w:tblGrid>
      <w:tr>
        <w:tc>
          <w:tcPr/>
          <w:p>
            <w:pPr>
              <w:pStyle w:val="Heading1"/>
              <w:jc w:val="left"/>
            </w:pPr>
            <w:bookmarkStart w:id="20" w:name="meridian-corporate-solutions-inc."/>
            <w:r>
              <w:t xml:space="preserve">MERIDIAN CORPORATE SOLUTIONS, INC.</w:t>
            </w:r>
            <w:bookmarkEnd w:id="20"/>
          </w:p>
          <w:p>
            <w:pPr>
              <w:jc w:val="left"/>
            </w:pPr>
            <w:r>
              <w:t xml:space="preserve">Unit 1204, 12th Floor, Ayala Avenue Tower</w:t>
            </w:r>
          </w:p>
          <w:p>
            <w:pPr>
              <w:jc w:val="left"/>
            </w:pPr>
            <w:r>
              <w:t xml:space="preserve">Makati City, Philippines Manila 1226</w:t>
            </w:r>
          </w:p>
          <w:p>
            <w:pPr>
              <w:jc w:val="left"/>
            </w:pPr>
            <w:r>
              <w:t xml:space="preserve">Tel: +63 (2) 8887-4521 | Email: procurement@meridiancorp.ph</w:t>
            </w:r>
          </w:p>
          <w:p>
            <w:pPr>
              <w:jc w:val="left"/>
            </w:pPr>
            <w:r>
              <w:t xml:space="preserve">TIN: 000-123-456-000 | BIR Registration No. 2019-0456-789</w:t>
            </w:r>
          </w:p>
        </w:tc>
        <w:tc>
          <w:tcPr/>
          <w:p>
            <w:pPr>
              <w:pStyle w:val="Heading2"/>
              <w:jc w:val="right"/>
            </w:pPr>
            <w:bookmarkStart w:id="21" w:name="purchase-order"/>
            <w:r>
              <w:t xml:space="preserve">PURCHASE ORDER</w:t>
            </w:r>
            <w:bookmarkEnd w:id="21"/>
          </w:p>
          <w:p>
            <w:pPr>
              <w:jc w:val="right"/>
            </w:pPr>
            <w:r>
              <w:rPr>
                <w:bCs/>
                <w:b/>
              </w:rPr>
              <w:t xml:space="preserve">PO Number:</w:t>
            </w:r>
            <w:r>
              <w:t xml:space="preserve"> </w:t>
            </w:r>
            <w:r>
              <w:t xml:space="preserve">PO-2025-0784</w:t>
            </w:r>
          </w:p>
          <w:p>
            <w:pPr>
              <w:jc w:val="right"/>
            </w:pPr>
            <w:r>
              <w:rPr>
                <w:bCs/>
                <w:b/>
              </w:rPr>
              <w:t xml:space="preserve">Date of Issue:</w:t>
            </w:r>
            <w:r>
              <w:t xml:space="preserve"> </w:t>
            </w:r>
            <w:r>
              <w:t xml:space="preserve">June 15, 2025</w:t>
            </w:r>
          </w:p>
          <w:p>
            <w:pPr>
              <w:jc w:val="right"/>
            </w:pPr>
            <w:r>
              <w:rPr>
                <w:bCs/>
                <w:b/>
              </w:rPr>
              <w:t xml:space="preserve">Valid Until:</w:t>
            </w:r>
            <w:r>
              <w:t xml:space="preserve"> </w:t>
            </w:r>
            <w:r>
              <w:t xml:space="preserve">July 15, 2025</w:t>
            </w:r>
          </w:p>
          <w:p>
            <w:pPr>
              <w:jc w:val="right"/>
            </w:pPr>
            <w:r>
              <w:rPr>
                <w:bCs/>
                <w:b/>
              </w:rPr>
              <w:t xml:space="preserve">Page:</w:t>
            </w:r>
            <w:r>
              <w:t xml:space="preserve"> </w:t>
            </w:r>
            <w:r>
              <w:t xml:space="preserve">1 of 1</w:t>
            </w:r>
          </w:p>
        </w:tc>
      </w:tr>
    </w:tbl>
    <w:p>
      <w:r>
        <w:pict>
          <v:rect style="width:0;height:1.5pt" o:hralign="center" o:hrstd="t" o:hr="t"/>
        </w:pict>
      </w:r>
    </w:p>
    <w:bookmarkStart w:id="22" w:name="vendor-service-provider-information"/>
    <w:p>
      <w:pPr>
        <w:pStyle w:val="Heading3"/>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Lawyer / Firm Name</w:t>
            </w:r>
          </w:p>
        </w:tc>
        <w:tc>
          <w:tcPr/>
          <w:p>
            <w:pPr>
              <w:pStyle w:val="Compact"/>
              <w:jc w:val="left"/>
            </w:pPr>
            <w:r>
              <w:t xml:space="preserve">Atty. Ricardo M. Dela Cruz, Esq. – Dela Cruz &amp; Associates Law Office</w:t>
            </w:r>
          </w:p>
        </w:tc>
      </w:tr>
      <w:tr>
        <w:tc>
          <w:tcPr/>
          <w:p>
            <w:pPr>
              <w:pStyle w:val="Compact"/>
              <w:jc w:val="left"/>
            </w:pPr>
            <w:r>
              <w:rPr>
                <w:bCs/>
                <w:b/>
              </w:rPr>
              <w:t xml:space="preserve">Address</w:t>
            </w:r>
          </w:p>
        </w:tc>
        <w:tc>
          <w:tcPr/>
          <w:p>
            <w:pPr>
              <w:pStyle w:val="Compact"/>
              <w:jc w:val="left"/>
            </w:pPr>
            <w:r>
              <w:t xml:space="preserve">Suite 801, 8th Floor, Robinsons Equity Center, Ortigas Avenue, Quezon City, Philippines Manila 1103</w:t>
            </w:r>
          </w:p>
        </w:tc>
      </w:tr>
      <w:tr>
        <w:tc>
          <w:tcPr/>
          <w:p>
            <w:pPr>
              <w:pStyle w:val="Compact"/>
              <w:jc w:val="left"/>
            </w:pPr>
            <w:r>
              <w:rPr>
                <w:bCs/>
                <w:b/>
              </w:rPr>
              <w:t xml:space="preserve">IBP No. / Roll No.</w:t>
            </w:r>
          </w:p>
        </w:tc>
        <w:tc>
          <w:tcPr/>
          <w:p>
            <w:pPr>
              <w:pStyle w:val="Compact"/>
              <w:jc w:val="left"/>
            </w:pPr>
            <w:r>
              <w:t xml:space="preserve">IBP No. 2005-12345 | Roll No. 45678</w:t>
            </w:r>
          </w:p>
        </w:tc>
      </w:tr>
      <w:tr>
        <w:tc>
          <w:tcPr/>
          <w:p>
            <w:pPr>
              <w:pStyle w:val="Compact"/>
              <w:jc w:val="left"/>
            </w:pPr>
            <w:r>
              <w:rPr>
                <w:bCs/>
                <w:b/>
              </w:rPr>
              <w:t xml:space="preserve">Contact</w:t>
            </w:r>
          </w:p>
        </w:tc>
        <w:tc>
          <w:tcPr/>
          <w:p>
            <w:pPr>
              <w:pStyle w:val="Compact"/>
              <w:jc w:val="left"/>
            </w:pPr>
            <w:r>
              <w:t xml:space="preserve">Tel: +63 (2) 8765-4321 | Email: rdela.cruz@dela-cruzlaw.ph</w:t>
            </w:r>
          </w:p>
        </w:tc>
      </w:tr>
      <w:tr>
        <w:tc>
          <w:tcPr/>
          <w:p>
            <w:pPr>
              <w:pStyle w:val="Compact"/>
              <w:jc w:val="left"/>
            </w:pPr>
            <w:r>
              <w:rPr>
                <w:bCs/>
                <w:b/>
              </w:rPr>
              <w:t xml:space="preserve">TIN</w:t>
            </w:r>
          </w:p>
        </w:tc>
        <w:tc>
          <w:tcPr/>
          <w:p>
            <w:pPr>
              <w:pStyle w:val="Compact"/>
              <w:jc w:val="left"/>
            </w:pPr>
            <w:r>
              <w:t xml:space="preserve">123-456-789-000</w:t>
            </w:r>
          </w:p>
        </w:tc>
      </w:tr>
    </w:tbl>
    <w:bookmarkEnd w:id="22"/>
    <w:bookmarkStart w:id="23" w:name="Xb72804ed8adf0cfa1939c674004f4fd58bfbab4"/>
    <w:p>
      <w:pPr>
        <w:pStyle w:val="Heading3"/>
      </w:pPr>
      <w:r>
        <w:t xml:space="preserve">PURCHASE ORDER DETAILS – LEGAL SERVICES ENGAGEMENT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Legal Services</w:t>
            </w:r>
          </w:p>
        </w:tc>
        <w:tc>
          <w:tcPr/>
          <w:p>
            <w:pPr>
              <w:pStyle w:val="Compact"/>
              <w:jc w:val="center"/>
            </w:pPr>
            <w:r>
              <w:t xml:space="preserve">Qty</w:t>
            </w:r>
          </w:p>
        </w:tc>
        <w:tc>
          <w:tcPr/>
          <w:p>
            <w:pPr>
              <w:pStyle w:val="Compact"/>
              <w:jc w:val="right"/>
            </w:pPr>
            <w:r>
              <w:t xml:space="preserve">Unit Rate (PHP)</w:t>
            </w:r>
          </w:p>
        </w:tc>
        <w:tc>
          <w:tcPr/>
          <w:p>
            <w:pPr>
              <w:pStyle w:val="Compact"/>
              <w:jc w:val="right"/>
            </w:pPr>
            <w:r>
              <w:t xml:space="preserve">Amount (PHP)</w:t>
            </w:r>
          </w:p>
        </w:tc>
      </w:tr>
      <w:tr>
        <w:tc>
          <w:tcPr/>
          <w:p>
            <w:pPr>
              <w:pStyle w:val="Compact"/>
              <w:jc w:val="left"/>
            </w:pPr>
            <w:r>
              <w:t xml:space="preserve">01</w:t>
            </w:r>
          </w:p>
        </w:tc>
        <w:tc>
          <w:tcPr/>
          <w:p>
            <w:pPr>
              <w:pStyle w:val="Compact"/>
              <w:jc w:val="left"/>
            </w:pPr>
            <w:r>
              <w:t xml:space="preserve">Retained legal counsel services for corporate governance, compliance with Philippine Securities and Exchange Commission (SEC) regulations, and board advisory. The Lawyer shall provide ongoing consultation, attend board meetings, and issue legal opinions as required by Meridian Corporate Solutions, Inc. in Philippines Manila.</w:t>
            </w:r>
          </w:p>
        </w:tc>
        <w:tc>
          <w:tcPr/>
          <w:p>
            <w:pPr>
              <w:pStyle w:val="Compact"/>
              <w:jc w:val="center"/>
            </w:pPr>
            <w:r>
              <w:t xml:space="preserve">12 months</w:t>
            </w:r>
          </w:p>
        </w:tc>
        <w:tc>
          <w:tcPr/>
          <w:p>
            <w:pPr>
              <w:pStyle w:val="Compact"/>
              <w:jc w:val="right"/>
            </w:pPr>
            <w:r>
              <w:t xml:space="preserve">85,000.00</w:t>
            </w:r>
          </w:p>
        </w:tc>
        <w:tc>
          <w:tcPr/>
          <w:p>
            <w:pPr>
              <w:pStyle w:val="Compact"/>
              <w:jc w:val="right"/>
            </w:pPr>
            <w:r>
              <w:t xml:space="preserve">1,020,000.00</w:t>
            </w:r>
          </w:p>
        </w:tc>
      </w:tr>
      <w:tr>
        <w:tc>
          <w:tcPr/>
          <w:p>
            <w:pPr>
              <w:pStyle w:val="Compact"/>
              <w:jc w:val="left"/>
            </w:pPr>
            <w:r>
              <w:t xml:space="preserve">02</w:t>
            </w:r>
          </w:p>
        </w:tc>
        <w:tc>
          <w:tcPr/>
          <w:p>
            <w:pPr>
              <w:pStyle w:val="Compact"/>
              <w:jc w:val="left"/>
            </w:pPr>
            <w:r>
              <w:t xml:space="preserve">Drafting and review of commercial contracts, service agreements, and non-disclosure agreements (NDAs) for business operations in Philippines Manila. Includes up to 25 documents per quarter with unlimited revisions within 5 business days.</w:t>
            </w:r>
          </w:p>
        </w:tc>
        <w:tc>
          <w:tcPr/>
          <w:p>
            <w:pPr>
              <w:pStyle w:val="Compact"/>
              <w:jc w:val="center"/>
            </w:pPr>
            <w:r>
              <w:t xml:space="preserve">4 quarters</w:t>
            </w:r>
          </w:p>
        </w:tc>
        <w:tc>
          <w:tcPr/>
          <w:p>
            <w:pPr>
              <w:pStyle w:val="Compact"/>
              <w:jc w:val="right"/>
            </w:pPr>
            <w:r>
              <w:t xml:space="preserve">45,000.00</w:t>
            </w:r>
          </w:p>
        </w:tc>
        <w:tc>
          <w:tcPr/>
          <w:p>
            <w:pPr>
              <w:pStyle w:val="Compact"/>
              <w:jc w:val="right"/>
            </w:pPr>
            <w:r>
              <w:t xml:space="preserve">180,000.00</w:t>
            </w:r>
          </w:p>
        </w:tc>
      </w:tr>
      <w:tr>
        <w:tc>
          <w:tcPr/>
          <w:p>
            <w:pPr>
              <w:pStyle w:val="Compact"/>
              <w:jc w:val="left"/>
            </w:pPr>
            <w:r>
              <w:t xml:space="preserve">03</w:t>
            </w:r>
          </w:p>
        </w:tc>
        <w:tc>
          <w:tcPr/>
          <w:p>
            <w:pPr>
              <w:pStyle w:val="Compact"/>
              <w:jc w:val="left"/>
            </w:pPr>
            <w:r>
              <w:t xml:space="preserve">Representation in labor and employment matters before the National Labor Relations Commission (NLRC) and Department of Labor and Employment (DOLE) in Philippines Manila. Covers up to 5 active cases including mediation, arbitration, and trial proceedings.</w:t>
            </w:r>
          </w:p>
        </w:tc>
        <w:tc>
          <w:tcPr/>
          <w:p>
            <w:pPr>
              <w:pStyle w:val="Compact"/>
              <w:jc w:val="center"/>
            </w:pPr>
            <w:r>
              <w:t xml:space="preserve">5 cases</w:t>
            </w:r>
          </w:p>
        </w:tc>
        <w:tc>
          <w:tcPr/>
          <w:p>
            <w:pPr>
              <w:pStyle w:val="Compact"/>
              <w:jc w:val="right"/>
            </w:pPr>
            <w:r>
              <w:t xml:space="preserve">60,000.00</w:t>
            </w:r>
          </w:p>
        </w:tc>
        <w:tc>
          <w:tcPr/>
          <w:p>
            <w:pPr>
              <w:pStyle w:val="Compact"/>
              <w:jc w:val="right"/>
            </w:pPr>
            <w:r>
              <w:t xml:space="preserve">300,000.00</w:t>
            </w:r>
          </w:p>
        </w:tc>
      </w:tr>
      <w:tr>
        <w:tc>
          <w:tcPr/>
          <w:p>
            <w:pPr>
              <w:pStyle w:val="Compact"/>
              <w:jc w:val="left"/>
            </w:pPr>
            <w:r>
              <w:t xml:space="preserve">04</w:t>
            </w:r>
          </w:p>
        </w:tc>
        <w:tc>
          <w:tcPr/>
          <w:p>
            <w:pPr>
              <w:pStyle w:val="Compact"/>
              <w:jc w:val="left"/>
            </w:pPr>
            <w:r>
              <w:t xml:space="preserve">Tax advisory and representation before the Bureau of Internal Revenue (BIR) Philippines Manila office. Includes annual tax filing review, transfer pricing documentation, and response to BIR assessment notices.</w:t>
            </w:r>
          </w:p>
        </w:tc>
        <w:tc>
          <w:tcPr/>
          <w:p>
            <w:pPr>
              <w:pStyle w:val="Compact"/>
              <w:jc w:val="center"/>
            </w:pPr>
            <w:r>
              <w:t xml:space="preserve">1 year</w:t>
            </w:r>
          </w:p>
        </w:tc>
        <w:tc>
          <w:tcPr/>
          <w:p>
            <w:pPr>
              <w:pStyle w:val="Compact"/>
              <w:jc w:val="right"/>
            </w:pPr>
            <w:r>
              <w:t xml:space="preserve">120,000.00</w:t>
            </w:r>
          </w:p>
        </w:tc>
        <w:tc>
          <w:tcPr/>
          <w:p>
            <w:pPr>
              <w:pStyle w:val="Compact"/>
              <w:jc w:val="right"/>
            </w:pPr>
            <w:r>
              <w:t xml:space="preserve">120,000.00</w:t>
            </w:r>
          </w:p>
        </w:tc>
      </w:tr>
      <w:tr>
        <w:tc>
          <w:tcPr/>
          <w:p>
            <w:pPr>
              <w:pStyle w:val="Compact"/>
              <w:jc w:val="left"/>
            </w:pPr>
            <w:r>
              <w:t xml:space="preserve">05</w:t>
            </w:r>
          </w:p>
        </w:tc>
        <w:tc>
          <w:tcPr/>
          <w:p>
            <w:pPr>
              <w:pStyle w:val="Compact"/>
              <w:jc w:val="left"/>
            </w:pPr>
            <w:r>
              <w:t xml:space="preserve">Intellectual property registration and enforcement services including trademark, patent, and copyright filings with the Intellectual Property Office of the Philippines (IPOPHL) in Philippines Manila.</w:t>
            </w:r>
          </w:p>
        </w:tc>
        <w:tc>
          <w:tcPr/>
          <w:p>
            <w:pPr>
              <w:pStyle w:val="Compact"/>
              <w:jc w:val="center"/>
            </w:pPr>
            <w:r>
              <w:t xml:space="preserve">3 filings</w:t>
            </w:r>
          </w:p>
        </w:tc>
        <w:tc>
          <w:tcPr/>
          <w:p>
            <w:pPr>
              <w:pStyle w:val="Compact"/>
              <w:jc w:val="right"/>
            </w:pPr>
            <w:r>
              <w:t xml:space="preserve">35,000.00</w:t>
            </w:r>
          </w:p>
        </w:tc>
        <w:tc>
          <w:tcPr/>
          <w:p>
            <w:pPr>
              <w:pStyle w:val="Compact"/>
              <w:jc w:val="right"/>
            </w:pPr>
            <w:r>
              <w:t xml:space="preserve">105,000.00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PHP 1,725,000.00</w:t>
            </w:r>
          </w:p>
        </w:tc>
      </w:tr>
      <w:tr>
        <w:tc>
          <w:tcPr/>
          <w:p>
            <w:pPr>
              <w:pStyle w:val="Compact"/>
              <w:jc w:val="left"/>
            </w:pPr>
            <w:r>
              <w:t xml:space="preserve">VAT (12%)</w:t>
            </w:r>
          </w:p>
        </w:tc>
        <w:tc>
          <w:tcPr/>
          <w:p>
            <w:pPr>
              <w:pStyle w:val="Compact"/>
              <w:jc w:val="right"/>
            </w:pPr>
            <w:r>
              <w:t xml:space="preserve">PHP 207,000.00</w:t>
            </w:r>
          </w:p>
        </w:tc>
      </w:tr>
      <w:tr>
        <w:tc>
          <w:tcPr/>
          <w:p>
            <w:pPr>
              <w:pStyle w:val="Compact"/>
              <w:jc w:val="left"/>
            </w:pPr>
            <w:r>
              <w:rPr>
                <w:bCs/>
                <w:b/>
              </w:rPr>
              <w:t xml:space="preserve">Grand Total</w:t>
            </w:r>
          </w:p>
        </w:tc>
        <w:tc>
          <w:tcPr/>
          <w:p>
            <w:pPr>
              <w:pStyle w:val="Compact"/>
              <w:jc w:val="right"/>
            </w:pPr>
            <w:r>
              <w:rPr>
                <w:bCs/>
                <w:b/>
              </w:rPr>
              <w:t xml:space="preserve">PHP 1,932,000.00</w:t>
            </w:r>
          </w:p>
        </w:tc>
      </w:tr>
    </w:tbl>
    <w:bookmarkEnd w:id="23"/>
    <w:bookmarkStart w:id="24" w:name="terms-and-conditions"/>
    <w:p>
      <w:pPr>
        <w:pStyle w:val="Heading3"/>
      </w:pPr>
      <w:r>
        <w:t xml:space="preserve">TERMS AND CONDITIONS</w:t>
      </w:r>
    </w:p>
    <w:p>
      <w:pPr>
        <w:numPr>
          <w:ilvl w:val="0"/>
          <w:numId w:val="1001"/>
        </w:numPr>
        <w:pStyle w:val="Compact"/>
      </w:pPr>
      <w:r>
        <w:rPr>
          <w:bCs/>
          <w:b/>
        </w:rPr>
        <w:t xml:space="preserve">Acceptance:</w:t>
      </w:r>
      <w:r>
        <w:t xml:space="preserve"> </w:t>
      </w:r>
      <w:r>
        <w:t xml:space="preserve">This Purchase Order constitutes a formal request for legal services. The Lawyer, Atty. Ricardo M. Dela Cruz, Esq., shall confirm acceptance in writing within five (5) business days from the date of issue. Failure to respond within this period shall render this Purchase Order null and void.</w:t>
      </w:r>
    </w:p>
    <w:p>
      <w:pPr>
        <w:numPr>
          <w:ilvl w:val="0"/>
          <w:numId w:val="1001"/>
        </w:numPr>
        <w:pStyle w:val="Compact"/>
      </w:pPr>
      <w:r>
        <w:rPr>
          <w:bCs/>
          <w:b/>
        </w:rPr>
        <w:t xml:space="preserve">Scope of Engagement:</w:t>
      </w:r>
      <w:r>
        <w:t xml:space="preserve"> </w:t>
      </w:r>
      <w:r>
        <w:t xml:space="preserve">The Lawyer shall render all legal services as described in the line items above in accordance with the Rules of Professional Responsibility of the Integrated Bar of the Philippines and applicable Philippine laws. All services shall be performed in or for the benefit of the client's operations in Philippines Manila.</w:t>
      </w:r>
    </w:p>
    <w:p>
      <w:pPr>
        <w:numPr>
          <w:ilvl w:val="0"/>
          <w:numId w:val="1001"/>
        </w:numPr>
        <w:pStyle w:val="Compact"/>
      </w:pPr>
      <w:r>
        <w:rPr>
          <w:bCs/>
          <w:b/>
        </w:rPr>
        <w:t xml:space="preserve">Payment Terms:</w:t>
      </w:r>
      <w:r>
        <w:t xml:space="preserve"> </w:t>
      </w:r>
      <w:r>
        <w:t xml:space="preserve">Payment shall be made on a Net-30 basis from the date of receipt of a valid Official Receipt (OR) issued by the Lawyer. Payment shall be remitted via bank transfer to the account designated by the Lawyer. All amounts are in Philippine Pesos (PHP) and are subject to 12% Value Added Tax (VAT) as mandated by the Bureau of Internal Revenue, Philippines Manila.</w:t>
      </w:r>
    </w:p>
    <w:p>
      <w:pPr>
        <w:numPr>
          <w:ilvl w:val="0"/>
          <w:numId w:val="1001"/>
        </w:numPr>
        <w:pStyle w:val="Compact"/>
      </w:pPr>
      <w:r>
        <w:rPr>
          <w:bCs/>
          <w:b/>
        </w:rPr>
        <w:t xml:space="preserve">Confidentiality:</w:t>
      </w:r>
      <w:r>
        <w:t xml:space="preserve"> </w:t>
      </w:r>
      <w:r>
        <w:t xml:space="preserve">The Lawyer shall maintain strict confidentiality over all information, documents, and trade secrets disclosed by Meridian Corporate Solutions, Inc. This obligation shall survive the termination of this Purchase Order by a period of three (3) years.</w:t>
      </w:r>
    </w:p>
    <w:p>
      <w:pPr>
        <w:numPr>
          <w:ilvl w:val="0"/>
          <w:numId w:val="1001"/>
        </w:numPr>
        <w:pStyle w:val="Compact"/>
      </w:pPr>
      <w:r>
        <w:rPr>
          <w:bCs/>
          <w:b/>
        </w:rPr>
        <w:t xml:space="preserve">Conflict of Interest:</w:t>
      </w:r>
      <w:r>
        <w:t xml:space="preserve"> </w:t>
      </w:r>
      <w:r>
        <w:t xml:space="preserve">The Lawyer warrants that there is no conflict of interest in providing services to the client. The Lawyer shall immediately disclose any potential conflict that may arise during the term of this Purchase Order.</w:t>
      </w:r>
    </w:p>
    <w:p>
      <w:pPr>
        <w:numPr>
          <w:ilvl w:val="0"/>
          <w:numId w:val="1001"/>
        </w:numPr>
        <w:pStyle w:val="Compact"/>
      </w:pPr>
      <w:r>
        <w:rPr>
          <w:bCs/>
          <w:b/>
        </w:rPr>
        <w:t xml:space="preserve">Termination:</w:t>
      </w:r>
      <w:r>
        <w:t xml:space="preserve"> </w:t>
      </w:r>
      <w:r>
        <w:t xml:space="preserve">Either party may terminate this Purchase Order with thirty (30) days written notice. Upon termination, the Lawyer shall be compensated for all services rendered up to the effective date of termination.</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Republic of the Philippines. Any disputes arising herefrom shall be subject to the exclusive jurisdiction of the courts in Philippines Manila, Metro Manila.</w:t>
      </w:r>
    </w:p>
    <w:p>
      <w:pPr>
        <w:numPr>
          <w:ilvl w:val="0"/>
          <w:numId w:val="1001"/>
        </w:numPr>
        <w:pStyle w:val="Compact"/>
      </w:pPr>
      <w:r>
        <w:rPr>
          <w:bCs/>
          <w:b/>
        </w:rPr>
        <w:t xml:space="preserve">Compliance:</w:t>
      </w:r>
      <w:r>
        <w:t xml:space="preserve"> </w:t>
      </w:r>
      <w:r>
        <w:t xml:space="preserve">The Lawyer shall comply with all applicable Philippine laws, regulations, and professional standards, including but not limited to the Philippine Bar Rules, the Code of Ethics for Lawyers, and all SEC, BIR, and DOLE regulations relevant to the services rendered in Philippines Manila.</w:t>
      </w:r>
    </w:p>
    <w:bookmarkEnd w:id="24"/>
    <w:bookmarkStart w:id="25" w:name="approval-and-authorization"/>
    <w:p>
      <w:pPr>
        <w:pStyle w:val="Heading3"/>
      </w:pPr>
      <w:r>
        <w:t xml:space="preserve">APPROVAL AND AUTHORIZATION</w:t>
      </w:r>
    </w:p>
    <w:tbl>
      <w:tblPr>
        <w:tblStyle w:val="Table"/>
        <w:tblW w:type="pct" w:w="5000"/>
        <w:tblLook w:firstRow="0" w:lastRow="0" w:firstColumn="0" w:lastColumn="0" w:noHBand="0" w:noVBand="0" w:val="0000"/>
      </w:tblPr>
      <w:tblGrid>
        <w:gridCol w:w="3960"/>
        <w:gridCol w:w="3960"/>
      </w:tblGrid>
      <w:tr>
        <w:tc>
          <w:tcPr/>
          <w:p>
            <w:pPr>
              <w:jc w:val="left"/>
            </w:pPr>
            <w:r>
              <w:t xml:space="preserve">Prepared by:</w:t>
            </w:r>
          </w:p>
          <w:p>
            <w:pPr>
              <w:jc w:val="left"/>
            </w:pPr>
            <w:r>
              <w:t xml:space="preserve">______________________________</w:t>
            </w:r>
          </w:p>
          <w:p>
            <w:pPr>
              <w:jc w:val="left"/>
            </w:pPr>
            <w:r>
              <w:rPr>
                <w:bCs/>
                <w:b/>
              </w:rPr>
              <w:t xml:space="preserve">Angela S. Reyes</w:t>
            </w:r>
          </w:p>
          <w:p>
            <w:pPr>
              <w:jc w:val="left"/>
            </w:pPr>
            <w:r>
              <w:t xml:space="preserve">Procurement Manager</w:t>
            </w:r>
          </w:p>
          <w:p>
            <w:pPr>
              <w:jc w:val="left"/>
            </w:pPr>
            <w:r>
              <w:t xml:space="preserve">Meridian Corporate Solutions, Inc.</w:t>
            </w:r>
          </w:p>
          <w:p>
            <w:pPr>
              <w:jc w:val="left"/>
            </w:pPr>
            <w:r>
              <w:t xml:space="preserve">Date: June 15, 2025</w:t>
            </w:r>
          </w:p>
        </w:tc>
        <w:tc>
          <w:tcPr/>
          <w:p>
            <w:pPr>
              <w:jc w:val="left"/>
            </w:pPr>
            <w:r>
              <w:t xml:space="preserve">Approved by:</w:t>
            </w:r>
          </w:p>
          <w:p>
            <w:pPr>
              <w:jc w:val="left"/>
            </w:pPr>
            <w:r>
              <w:t xml:space="preserve">______________________________</w:t>
            </w:r>
          </w:p>
          <w:p>
            <w:pPr>
              <w:jc w:val="left"/>
            </w:pPr>
            <w:r>
              <w:rPr>
                <w:bCs/>
                <w:b/>
              </w:rPr>
              <w:t xml:space="preserve">Dr. James T. Villanueva</w:t>
            </w:r>
          </w:p>
          <w:p>
            <w:pPr>
              <w:jc w:val="left"/>
            </w:pPr>
            <w:r>
              <w:t xml:space="preserve">Chief Financial Officer</w:t>
            </w:r>
          </w:p>
          <w:p>
            <w:pPr>
              <w:jc w:val="left"/>
            </w:pPr>
            <w:r>
              <w:t xml:space="preserve">Meridian Corporate Solutions, Inc.</w:t>
            </w:r>
          </w:p>
          <w:p>
            <w:pPr>
              <w:jc w:val="left"/>
            </w:pPr>
            <w:r>
              <w:t xml:space="preserve">Date: June 15, 2025</w:t>
            </w:r>
          </w:p>
        </w:tc>
      </w:tr>
      <w:tr>
        <w:tc>
          <w:tcPr/>
          <w:p>
            <w:pPr>
              <w:jc w:val="left"/>
            </w:pPr>
            <w:r>
              <w:t xml:space="preserve">Accepted by (Lawyer):</w:t>
            </w:r>
          </w:p>
          <w:p>
            <w:pPr>
              <w:jc w:val="left"/>
            </w:pPr>
            <w:r>
              <w:t xml:space="preserve">______________________________</w:t>
            </w:r>
          </w:p>
          <w:p>
            <w:pPr>
              <w:jc w:val="left"/>
            </w:pPr>
            <w:r>
              <w:rPr>
                <w:bCs/>
                <w:b/>
              </w:rPr>
              <w:t xml:space="preserve">Atty. Ricardo M. Dela Cruz, Esq.</w:t>
            </w:r>
          </w:p>
          <w:p>
            <w:pPr>
              <w:jc w:val="left"/>
            </w:pPr>
            <w:r>
              <w:t xml:space="preserve">Dela Cruz &amp; Associates Law Office</w:t>
            </w:r>
          </w:p>
          <w:p>
            <w:pPr>
              <w:jc w:val="left"/>
            </w:pPr>
            <w:r>
              <w:t xml:space="preserve">IBP No. 2005-12345</w:t>
            </w:r>
          </w:p>
          <w:p>
            <w:pPr>
              <w:jc w:val="left"/>
            </w:pPr>
            <w:r>
              <w:t xml:space="preserve">Date: ___________________</w:t>
            </w:r>
          </w:p>
        </w:tc>
        <w:tc>
          <w:tcPr/>
          <w:p>
            <w:pPr>
              <w:jc w:val="left"/>
            </w:pPr>
            <w:r>
              <w:t xml:space="preserve">Witnessed by:</w:t>
            </w:r>
          </w:p>
          <w:p>
            <w:pPr>
              <w:jc w:val="left"/>
            </w:pPr>
            <w:r>
              <w:t xml:space="preserve">______________________________</w:t>
            </w:r>
          </w:p>
          <w:p>
            <w:pPr>
              <w:jc w:val="left"/>
            </w:pPr>
            <w:r>
              <w:rPr>
                <w:bCs/>
                <w:b/>
              </w:rPr>
              <w:t xml:space="preserve">Maria L. Santos</w:t>
            </w:r>
          </w:p>
          <w:p>
            <w:pPr>
              <w:jc w:val="left"/>
            </w:pPr>
            <w:r>
              <w:t xml:space="preserve">Legal Compliance Officer</w:t>
            </w:r>
          </w:p>
          <w:p>
            <w:pPr>
              <w:jc w:val="left"/>
            </w:pPr>
            <w:r>
              <w:t xml:space="preserve">Meridian Corporate Solutions, Inc.</w:t>
            </w:r>
          </w:p>
          <w:p>
            <w:pPr>
              <w:jc w:val="left"/>
            </w:pPr>
            <w:r>
              <w:t xml:space="preserve">Date: June 15, 2025</w:t>
            </w:r>
          </w:p>
        </w:tc>
      </w:tr>
    </w:tbl>
    <w:p>
      <w:r>
        <w:pict>
          <v:rect style="width:0;height:1.5pt" o:hralign="center" o:hrstd="t" o:hr="t"/>
        </w:pict>
      </w:r>
    </w:p>
    <w:p>
      <w:pPr>
        <w:pStyle w:val="FirstParagraph"/>
      </w:pPr>
      <w:r>
        <w:t xml:space="preserve">This Purchase Order (PO-2025-0784) is issued by Meridian Corporate Solutions, Inc., Philippines Manila, for the engagement of legal services rendered by a licensed Lawyer in the Republic of the Philippines. This document is valid only upon full execution by all parties. For inquiries, contact the Procurement Department at procurement@meridiancorp.ph. All disputes shall be resolved under Philippine law in the courts of Philippines Manila.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Philippines Manila</dc:title>
  <dc:creator/>
  <dc:language>en</dc:language>
  <cp:keywords/>
  <dcterms:created xsi:type="dcterms:W3CDTF">2026-10-10T08:36:10Z</dcterms:created>
  <dcterms:modified xsi:type="dcterms:W3CDTF">2026-10-10T08:36:10Z</dcterms:modified>
</cp:coreProperties>
</file>

<file path=docProps/custom.xml><?xml version="1.0" encoding="utf-8"?>
<Properties xmlns="http://schemas.openxmlformats.org/officeDocument/2006/custom-properties" xmlns:vt="http://schemas.openxmlformats.org/officeDocument/2006/docPropsVTypes"/>
</file>