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Al Rayyan Corporate Services LLC — Doha, State of Qatar</w:t>
      </w:r>
    </w:p>
    <w:p>
      <w:pPr>
        <w:pStyle w:val="BodyText"/>
      </w:pPr>
      <w:r>
        <w:t xml:space="preserve">Commercial Registration No. 3847291 | VAT No. QV-2024-00871</w:t>
      </w:r>
    </w:p>
    <w:bookmarkEnd w:id="20"/>
    <w:p>
      <w:pPr>
        <w:pStyle w:val="BodyText"/>
      </w:pPr>
      <w:r>
        <w:rPr>
          <w:bCs/>
          <w:b/>
        </w:rPr>
        <w:t xml:space="preserve">Purchase Order No.:</w:t>
      </w:r>
      <w:r>
        <w:t xml:space="preserve"> </w:t>
      </w:r>
      <w:r>
        <w:t xml:space="preserve">PO-QA-2025-04471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Department:</w:t>
      </w:r>
      <w:r>
        <w:t xml:space="preserve"> </w:t>
      </w:r>
      <w:r>
        <w:t xml:space="preserve">Legal &amp; Compliance</w:t>
      </w:r>
      <w:r>
        <w:br/>
      </w:r>
      <w:r>
        <w:rPr>
          <w:bCs/>
          <w:b/>
        </w:rPr>
        <w:t xml:space="preserve">Prepared By:</w:t>
      </w:r>
      <w:r>
        <w:t xml:space="preserve"> </w:t>
      </w:r>
      <w:r>
        <w:t xml:space="preserve">Mr. Khalid Al-Mansoori</w:t>
      </w:r>
      <w:r>
        <w:br/>
      </w:r>
      <w:r>
        <w:rPr>
          <w:bCs/>
          <w:b/>
        </w:rPr>
        <w:t xml:space="preserve">Approved By:</w:t>
      </w:r>
      <w:r>
        <w:t xml:space="preserve"> </w:t>
      </w:r>
      <w:r>
        <w:t xml:space="preserve">Ms. Fatima Al-Thani, CFO</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Lawyer / Firm Name</w:t>
            </w:r>
          </w:p>
        </w:tc>
        <w:tc>
          <w:tcPr/>
          <w:p>
            <w:pPr>
              <w:pStyle w:val="Compact"/>
              <w:jc w:val="left"/>
            </w:pPr>
            <w:r>
              <w:t xml:space="preserve">Adv. Sarah Al-Kuwari &amp; Associates, Legal Counsel</w:t>
            </w:r>
          </w:p>
        </w:tc>
      </w:tr>
      <w:tr>
        <w:tc>
          <w:tcPr/>
          <w:p>
            <w:pPr>
              <w:pStyle w:val="Compact"/>
              <w:jc w:val="left"/>
            </w:pPr>
            <w:r>
              <w:t xml:space="preserve">Registration No.</w:t>
            </w:r>
          </w:p>
        </w:tc>
        <w:tc>
          <w:tcPr/>
          <w:p>
            <w:pPr>
              <w:pStyle w:val="Compact"/>
              <w:jc w:val="left"/>
            </w:pPr>
            <w:r>
              <w:t xml:space="preserve">Qatar Bar Council License No. LB-2019-0342</w:t>
            </w:r>
          </w:p>
        </w:tc>
      </w:tr>
      <w:tr>
        <w:tc>
          <w:tcPr/>
          <w:p>
            <w:pPr>
              <w:pStyle w:val="Compact"/>
              <w:jc w:val="left"/>
            </w:pPr>
            <w:r>
              <w:t xml:space="preserve">Office Address</w:t>
            </w:r>
          </w:p>
        </w:tc>
        <w:tc>
          <w:tcPr/>
          <w:p>
            <w:pPr>
              <w:pStyle w:val="Compact"/>
              <w:jc w:val="left"/>
            </w:pPr>
            <w:r>
              <w:t xml:space="preserve">Suite 1204, West Bay Tower, Street 31, West Bay, Doha, Qatar</w:t>
            </w:r>
          </w:p>
        </w:tc>
      </w:tr>
      <w:tr>
        <w:tc>
          <w:tcPr/>
          <w:p>
            <w:pPr>
              <w:pStyle w:val="Compact"/>
              <w:jc w:val="left"/>
            </w:pPr>
            <w:r>
              <w:t xml:space="preserve">Contact Person</w:t>
            </w:r>
          </w:p>
        </w:tc>
        <w:tc>
          <w:tcPr/>
          <w:p>
            <w:pPr>
              <w:pStyle w:val="Compact"/>
              <w:jc w:val="left"/>
            </w:pPr>
            <w:r>
              <w:t xml:space="preserve">Adv. Sarah Al-Kuwari, Senior Partner</w:t>
            </w:r>
          </w:p>
        </w:tc>
      </w:tr>
      <w:tr>
        <w:tc>
          <w:tcPr/>
          <w:p>
            <w:pPr>
              <w:pStyle w:val="Compact"/>
              <w:jc w:val="left"/>
            </w:pPr>
            <w:r>
              <w:t xml:space="preserve">Email / Phone</w:t>
            </w:r>
          </w:p>
        </w:tc>
        <w:tc>
          <w:tcPr/>
          <w:p>
            <w:pPr>
              <w:pStyle w:val="Compact"/>
              <w:jc w:val="left"/>
            </w:pPr>
            <w:r>
              <w:t xml:space="preserve">s.alquwari@aklegal.qa | +974 4455 8821</w:t>
            </w:r>
          </w:p>
        </w:tc>
      </w:tr>
      <w:tr>
        <w:tc>
          <w:tcPr/>
          <w:p>
            <w:pPr>
              <w:pStyle w:val="Compact"/>
              <w:jc w:val="left"/>
            </w:pPr>
            <w:r>
              <w:t xml:space="preserve">Bank Details</w:t>
            </w:r>
          </w:p>
        </w:tc>
        <w:tc>
          <w:tcPr/>
          <w:p>
            <w:pPr>
              <w:pStyle w:val="Compact"/>
              <w:jc w:val="left"/>
            </w:pPr>
            <w:r>
              <w:t xml:space="preserve">QNB Bank, Account No. 0012-4478-9921, SWIFT: QNBQQA</w:t>
            </w:r>
          </w:p>
        </w:tc>
      </w:tr>
    </w:tbl>
    <w:bookmarkEnd w:id="21"/>
    <w:bookmarkStart w:id="22" w:name="description-of-legal-services-procured"/>
    <w:p>
      <w:pPr>
        <w:pStyle w:val="Heading2"/>
      </w:pPr>
      <w:r>
        <w:t xml:space="preserve">2. Description of Legal Services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Comprehensive legal counsel and advisory services regarding corporate governance restructuring for Al Rayyan Corporate Services LLC, including preparation of board resolutions, shareholder agreements, and compliance with Qatar Commercial Companies Law (Law No. 11 of 2015).</w:t>
            </w:r>
          </w:p>
        </w:tc>
        <w:tc>
          <w:tcPr/>
          <w:p>
            <w:pPr>
              <w:pStyle w:val="Compact"/>
              <w:jc w:val="left"/>
            </w:pPr>
            <w:r>
              <w:t xml:space="preserve">3 months</w:t>
            </w:r>
          </w:p>
        </w:tc>
        <w:tc>
          <w:tcPr/>
          <w:p>
            <w:pPr>
              <w:pStyle w:val="Compact"/>
              <w:jc w:val="left"/>
            </w:pPr>
            <w:r>
              <w:t xml:space="preserve">12,000 / month</w:t>
            </w:r>
          </w:p>
        </w:tc>
        <w:tc>
          <w:tcPr/>
          <w:p>
            <w:pPr>
              <w:pStyle w:val="Compact"/>
              <w:jc w:val="left"/>
            </w:pPr>
            <w:r>
              <w:t xml:space="preserve">36,000</w:t>
            </w:r>
          </w:p>
        </w:tc>
      </w:tr>
      <w:tr>
        <w:tc>
          <w:tcPr/>
          <w:p>
            <w:pPr>
              <w:pStyle w:val="Compact"/>
              <w:jc w:val="left"/>
            </w:pPr>
            <w:r>
              <w:t xml:space="preserve">02</w:t>
            </w:r>
          </w:p>
        </w:tc>
        <w:tc>
          <w:tcPr/>
          <w:p>
            <w:pPr>
              <w:pStyle w:val="Compact"/>
              <w:jc w:val="left"/>
            </w:pPr>
            <w:r>
              <w:t xml:space="preserve">Drafting, review, and negotiation of a multi-tenant commercial lease agreement for the company’s new office premises in Doha Financial Centre, including force majeure clauses aligned with Qatari civil law.</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Representation before the Qatar Labour Court in a pending employment dispute (Case No. 2025/1187), including preparation of pleadings, attendance at hearings, and post-judgment enforcement actions.</w:t>
            </w:r>
          </w:p>
        </w:tc>
        <w:tc>
          <w:tcPr/>
          <w:p>
            <w:pPr>
              <w:pStyle w:val="Compact"/>
              <w:jc w:val="left"/>
            </w:pPr>
            <w:r>
              <w:t xml:space="preserve">Until resolution</w:t>
            </w:r>
          </w:p>
        </w:tc>
        <w:tc>
          <w:tcPr/>
          <w:p>
            <w:pPr>
              <w:pStyle w:val="Compact"/>
              <w:jc w:val="left"/>
            </w:pPr>
            <w:r>
              <w:t xml:space="preserve">15,000 / month</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Regulatory compliance audit and legal opinion letter regarding data protection obligations under Qatar’s Personal Data Protection Law (Law No. 13 of 2016) and alignment with the Qatar Central Bank’s cybersecurity directives.</w:t>
            </w:r>
          </w:p>
        </w:tc>
        <w:tc>
          <w:tcPr/>
          <w:p>
            <w:pPr>
              <w:pStyle w:val="Compact"/>
              <w:jc w:val="left"/>
            </w:pPr>
            <w:r>
              <w:t xml:space="preserve">One-time</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05</w:t>
            </w:r>
          </w:p>
        </w:tc>
        <w:tc>
          <w:tcPr/>
          <w:p>
            <w:pPr>
              <w:pStyle w:val="Compact"/>
              <w:jc w:val="left"/>
            </w:pPr>
            <w:r>
              <w:t xml:space="preserve">Preparation and filing of a trademark registration application with the Qatar Ministry of Commerce and Industry for the company’s new brand identity, including response to any examiner objections.</w:t>
            </w:r>
          </w:p>
        </w:tc>
        <w:tc>
          <w:tcPr/>
          <w:p>
            <w:pPr>
              <w:pStyle w:val="Compact"/>
              <w:jc w:val="left"/>
            </w:pPr>
            <w:r>
              <w:t xml:space="preserve">One-time</w:t>
            </w:r>
          </w:p>
        </w:tc>
        <w:tc>
          <w:tcPr/>
          <w:p>
            <w:pPr>
              <w:pStyle w:val="Compact"/>
              <w:jc w:val="left"/>
            </w:pPr>
            <w:r>
              <w:t xml:space="preserve">4,500</w:t>
            </w:r>
          </w:p>
        </w:tc>
        <w:tc>
          <w:tcPr/>
          <w:p>
            <w:pPr>
              <w:pStyle w:val="Compact"/>
              <w:jc w:val="left"/>
            </w:pPr>
            <w:r>
              <w:t xml:space="preserve">4,500</w:t>
            </w:r>
          </w:p>
        </w:tc>
      </w:tr>
      <w:tr>
        <w:tc>
          <w:tcPr>
            <w:gridSpan w:val="4"/>
          </w:tcPr>
          <w:p>
            <w:pPr>
              <w:pStyle w:val="Compact"/>
              <w:jc w:val="right"/>
            </w:pPr>
            <w:r>
              <w:t xml:space="preserve">TOTAL PURCHASE ORDER VALUE</w:t>
            </w:r>
          </w:p>
        </w:tc>
        <w:tc>
          <w:tcPr/>
          <w:p>
            <w:pPr>
              <w:pStyle w:val="Compact"/>
              <w:jc w:val="left"/>
            </w:pPr>
            <w:r>
              <w:t xml:space="preserve">104,000</w:t>
            </w:r>
          </w:p>
        </w:tc>
      </w:tr>
      <w:tr>
        <w:tc>
          <w:tcPr>
            <w:gridSpan w:val="4"/>
          </w:tcPr>
          <w:p>
            <w:pPr>
              <w:pStyle w:val="Compact"/>
              <w:jc w:val="right"/>
            </w:pPr>
            <w:r>
              <w:t xml:space="preserve">VAT (5% — Qatar Standard Rate)</w:t>
            </w:r>
          </w:p>
        </w:tc>
        <w:tc>
          <w:tcPr/>
          <w:p>
            <w:pPr>
              <w:pStyle w:val="Compact"/>
              <w:jc w:val="left"/>
            </w:pPr>
            <w:r>
              <w:t xml:space="preserve">5,200</w:t>
            </w:r>
          </w:p>
        </w:tc>
      </w:tr>
      <w:tr>
        <w:tc>
          <w:tcPr>
            <w:gridSpan w:val="4"/>
          </w:tcPr>
          <w:p>
            <w:pPr>
              <w:pStyle w:val="Compact"/>
              <w:jc w:val="right"/>
            </w:pPr>
            <w:r>
              <w:t xml:space="preserve">GRAND TOTAL (QAR)</w:t>
            </w:r>
          </w:p>
        </w:tc>
        <w:tc>
          <w:tcPr/>
          <w:p>
            <w:pPr>
              <w:pStyle w:val="Compact"/>
              <w:jc w:val="left"/>
            </w:pPr>
            <w:r>
              <w:t xml:space="preserve">109,200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and all services rendered under it shall be governed by and construed in accordance with the laws of the State of Qatar, including the Qatar Civil Code, the Qatar Commercial Companies Law, and the Qatar Bar Council Rules of Professional Conduct applicable to the Lawyer and firm.</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tax invoice issued by the Lawyer’s firm. All payments shall be transferred via wire transfer to the bank account specified in Section 1. The total Purchase Order value of QAR 109,200 (inclusive of 5% VAT) is non-refundable once services have commenced.</w:t>
      </w:r>
    </w:p>
    <w:p>
      <w:pPr>
        <w:numPr>
          <w:ilvl w:val="0"/>
          <w:numId w:val="1001"/>
        </w:numPr>
        <w:pStyle w:val="Compact"/>
      </w:pPr>
      <w:r>
        <w:rPr>
          <w:bCs/>
          <w:b/>
        </w:rPr>
        <w:t xml:space="preserve">Scope of Engagement:</w:t>
      </w:r>
      <w:r>
        <w:t xml:space="preserve"> </w:t>
      </w:r>
      <w:r>
        <w:t xml:space="preserve">The Lawyer shall provide all legal services described in Section 2 with the diligence, skill, and professional judgment expected of a qualified attorney practicing in Doha, Qatar. Any services outside the scope of this Purchase Order shall require a written amendment signed by both parties.</w:t>
      </w:r>
    </w:p>
    <w:p>
      <w:pPr>
        <w:numPr>
          <w:ilvl w:val="0"/>
          <w:numId w:val="1001"/>
        </w:numPr>
        <w:pStyle w:val="Compact"/>
      </w:pPr>
      <w:r>
        <w:rPr>
          <w:bCs/>
          <w:b/>
        </w:rPr>
        <w:t xml:space="preserve">Confidentiality:</w:t>
      </w:r>
      <w:r>
        <w:t xml:space="preserve"> </w:t>
      </w:r>
      <w:r>
        <w:t xml:space="preserve">The Lawyer and all members of the firm shall maintain strict confidentiality regarding all information, documents, and trade secrets disclosed by Al Rayyan Corporate Services LLC in connection with this Purchase Order. This obligation survives termination of the engagement for a period of five (5) years.</w:t>
      </w:r>
    </w:p>
    <w:p>
      <w:pPr>
        <w:numPr>
          <w:ilvl w:val="0"/>
          <w:numId w:val="1001"/>
        </w:numPr>
        <w:pStyle w:val="Compact"/>
      </w:pPr>
      <w:r>
        <w:rPr>
          <w:bCs/>
          <w:b/>
        </w:rPr>
        <w:t xml:space="preserve">Conflict of Interest:</w:t>
      </w:r>
      <w:r>
        <w:t xml:space="preserve"> </w:t>
      </w:r>
      <w:r>
        <w:t xml:space="preserve">The Lawyer warrants that no conflict of interest exists or will arise during the term of this Purchase Order. The Lawyer shall immediately notify the company in writing should any potential conflict emerge.</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Upon termination, the company shall pay for all services rendered up to the effective date of termination, and the Lawyer shall deliver all work product and files to the company within fourteen (14) days.</w:t>
      </w:r>
    </w:p>
    <w:p>
      <w:pPr>
        <w:numPr>
          <w:ilvl w:val="0"/>
          <w:numId w:val="1001"/>
        </w:numPr>
        <w:pStyle w:val="Compact"/>
      </w:pPr>
      <w:r>
        <w:rPr>
          <w:bCs/>
          <w:b/>
        </w:rPr>
        <w:t xml:space="preserve">Dispute Resolution:</w:t>
      </w:r>
      <w:r>
        <w:t xml:space="preserve"> </w:t>
      </w:r>
      <w:r>
        <w:t xml:space="preserve">Any dispute arising out of or in connection with this Purchase Order shall first be subject to good-faith negotiation. If unresolved within thirty (30) days, the dispute shall be referred to the Qatar International Arbitration Centre (QIAC) in Doha, and the arbitral award shall be final and binding.</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government sanctions, or civil unrest in Qatar Doha or the wider region.</w:t>
      </w:r>
    </w:p>
    <w:p>
      <w:pPr>
        <w:numPr>
          <w:ilvl w:val="0"/>
          <w:numId w:val="1001"/>
        </w:numPr>
        <w:pStyle w:val="Compact"/>
      </w:pPr>
      <w:r>
        <w:rPr>
          <w:bCs/>
          <w:b/>
        </w:rPr>
        <w:t xml:space="preserve">Compliance with Qatar Regulations:</w:t>
      </w:r>
      <w:r>
        <w:t xml:space="preserve"> </w:t>
      </w:r>
      <w:r>
        <w:t xml:space="preserve">The Lawyer confirms that all services will be performed in full compliance with the Qatar Bar Council’s ethical rules, the Anti-Money Laundering Law (Law No. 30 of 2002), and all applicable regulations of the Qatar Financial Centre Authority where relevant.</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the terms, conditions, and scope of services outlined in this Purchase Order. This document constitutes a binding agreement for the procurement of legal services in Qatar Doha between the undersigned parties.</w:t>
      </w:r>
    </w:p>
    <w:bookmarkEnd w:id="24"/>
    <w:p>
      <w:pPr>
        <w:pStyle w:val="BodyText"/>
      </w:pPr>
      <w:r>
        <w:rPr>
          <w:bCs/>
          <w:b/>
        </w:rPr>
        <w:t xml:space="preserve">For: Al Rayyan Corporate Services LLC</w:t>
      </w:r>
      <w:r>
        <w:br/>
      </w:r>
      <w:r>
        <w:t xml:space="preserve">Name: Ms. Fatima Al-Thani</w:t>
      </w:r>
      <w:r>
        <w:br/>
      </w:r>
      <w:r>
        <w:t xml:space="preserve">Title: Chief Financial Officer</w:t>
      </w:r>
      <w:r>
        <w:br/>
      </w:r>
      <w:r>
        <w:t xml:space="preserve">Signature: _________________________</w:t>
      </w:r>
      <w:r>
        <w:br/>
      </w:r>
      <w:r>
        <w:t xml:space="preserve">Date: 14 June 2025</w:t>
      </w:r>
    </w:p>
    <w:p>
      <w:pPr>
        <w:pStyle w:val="BodyText"/>
      </w:pPr>
      <w:r>
        <w:rPr>
          <w:bCs/>
          <w:b/>
        </w:rPr>
        <w:t xml:space="preserve">For: Adv. Sarah Al-Kuwari &amp; Associates</w:t>
      </w:r>
      <w:r>
        <w:br/>
      </w:r>
      <w:r>
        <w:t xml:space="preserve">Name: Adv. Sarah Al-Kuwari</w:t>
      </w:r>
      <w:r>
        <w:br/>
      </w:r>
      <w:r>
        <w:t xml:space="preserve">Title: Senior Partner / Lawyer</w:t>
      </w:r>
      <w:r>
        <w:br/>
      </w:r>
      <w:r>
        <w:t xml:space="preserve">Signature: _________________________</w:t>
      </w:r>
      <w:r>
        <w:br/>
      </w:r>
      <w:r>
        <w:t xml:space="preserve">Date: 14 June 2025</w:t>
      </w:r>
    </w:p>
    <w:p>
      <w:pPr>
        <w:pStyle w:val="BodyText"/>
      </w:pPr>
      <w:r>
        <w:t xml:space="preserve">This Purchase Order (PO-QA-2025-04471) is issued by Al Rayyan Corporate Services LLC, Doha, State of Qatar. All legal services referenced herein are to be performed by a duly licensed Lawyer registered with the Qatar Bar Council. This document is valid only for the procurement of legal services in Qatar Doha and does not constitute a retainer for ongoing general counsel beyond the scope specified above. For inquiries, contact the Legal &amp; Compliance Department at legal@alrayyan-cs.qa.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Qatar Doha</dc:title>
  <dc:creator/>
  <dc:language>en</dc:language>
  <cp:keywords/>
  <dcterms:created xsi:type="dcterms:W3CDTF">2026-10-10T06:39:24Z</dcterms:created>
  <dcterms:modified xsi:type="dcterms:W3CDTF">2026-10-10T06:39:24Z</dcterms:modified>
</cp:coreProperties>
</file>

<file path=docProps/custom.xml><?xml version="1.0" encoding="utf-8"?>
<Properties xmlns="http://schemas.openxmlformats.org/officeDocument/2006/custom-properties" xmlns:vt="http://schemas.openxmlformats.org/officeDocument/2006/docPropsVTypes"/>
</file>