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Legal Professional Services Engagement</w:t>
      </w:r>
    </w:p>
    <w:p>
      <w:pPr>
        <w:pStyle w:val="BodyText"/>
      </w:pPr>
      <w:r>
        <w:t xml:space="preserve">Kingdom of Saudi Arabia — Jeddah</w:t>
      </w:r>
    </w:p>
    <w:bookmarkEnd w:id="20"/>
    <w:p>
      <w:pPr>
        <w:pStyle w:val="BodyText"/>
      </w:pPr>
      <w:r>
        <w:t xml:space="preserve">PO No.: SA-JED-2025-04872</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Al-Nakheel Industrial &amp; Trading Co. Ltd.</w:t>
      </w:r>
    </w:p>
    <w:p>
      <w:pPr>
        <w:pStyle w:val="BodyText"/>
      </w:pPr>
      <w:r>
        <w:rPr>
          <w:bCs/>
          <w:b/>
        </w:rPr>
        <w:t xml:space="preserve">Address:</w:t>
      </w:r>
      <w:r>
        <w:t xml:space="preserve"> </w:t>
      </w:r>
      <w:r>
        <w:t xml:space="preserve">King Fahd Road, Al Shati District, Jeddah 23411, Saudi Arabia</w:t>
      </w:r>
    </w:p>
    <w:p>
      <w:pPr>
        <w:pStyle w:val="BodyText"/>
      </w:pPr>
      <w:r>
        <w:rPr>
          <w:bCs/>
          <w:b/>
        </w:rPr>
        <w:t xml:space="preserve">CR Number:</w:t>
      </w:r>
      <w:r>
        <w:t xml:space="preserve"> </w:t>
      </w:r>
      <w:r>
        <w:t xml:space="preserve">1010456789</w:t>
      </w:r>
    </w:p>
    <w:p>
      <w:pPr>
        <w:pStyle w:val="BodyText"/>
      </w:pPr>
      <w:r>
        <w:rPr>
          <w:bCs/>
          <w:b/>
        </w:rPr>
        <w:t xml:space="preserve">VAT Number:</w:t>
      </w:r>
      <w:r>
        <w:t xml:space="preserve"> </w:t>
      </w:r>
      <w:r>
        <w:t xml:space="preserve">310123456700003</w:t>
      </w:r>
    </w:p>
    <w:p>
      <w:pPr>
        <w:pStyle w:val="BodyText"/>
      </w:pPr>
      <w:r>
        <w:rPr>
          <w:bCs/>
          <w:b/>
        </w:rPr>
        <w:t xml:space="preserve">Contact:</w:t>
      </w:r>
      <w:r>
        <w:t xml:space="preserve"> </w:t>
      </w:r>
      <w:r>
        <w:t xml:space="preserve">Mr. Khalid Al-Otaibi, Procurement Manager</w:t>
      </w:r>
    </w:p>
    <w:p>
      <w:pPr>
        <w:pStyle w:val="BodyText"/>
      </w:pPr>
      <w:r>
        <w:rPr>
          <w:bCs/>
          <w:b/>
        </w:rPr>
        <w:t xml:space="preserve">Email:</w:t>
      </w:r>
      <w:r>
        <w:t xml:space="preserve"> </w:t>
      </w:r>
      <w:r>
        <w:t xml:space="preserve">procurement@alnakheel-sa.com</w:t>
      </w:r>
    </w:p>
    <w:bookmarkEnd w:id="21"/>
    <w:bookmarkStart w:id="22" w:name="service-provider-seller"/>
    <w:p>
      <w:pPr>
        <w:pStyle w:val="Heading3"/>
      </w:pPr>
      <w:r>
        <w:t xml:space="preserve">Service Provider (Seller)</w:t>
      </w:r>
    </w:p>
    <w:p>
      <w:pPr>
        <w:pStyle w:val="FirstParagraph"/>
      </w:pPr>
      <w:r>
        <w:rPr>
          <w:bCs/>
          <w:b/>
        </w:rPr>
        <w:t xml:space="preserve">Lawyer / Firm:</w:t>
      </w:r>
      <w:r>
        <w:t xml:space="preserve"> </w:t>
      </w:r>
      <w:r>
        <w:t xml:space="preserve">Al-Rashid &amp; Partners Legal Consultancy</w:t>
      </w:r>
    </w:p>
    <w:p>
      <w:pPr>
        <w:pStyle w:val="BodyText"/>
      </w:pPr>
      <w:r>
        <w:rPr>
          <w:bCs/>
          <w:b/>
        </w:rPr>
        <w:t xml:space="preserve">Address:</w:t>
      </w:r>
      <w:r>
        <w:t xml:space="preserve"> </w:t>
      </w:r>
      <w:r>
        <w:t xml:space="preserve">Prince Sultan Bin Abdulaziz Road, Al Rawdah, Jeddah 23436, Saudi Arabia</w:t>
      </w:r>
    </w:p>
    <w:p>
      <w:pPr>
        <w:pStyle w:val="BodyText"/>
      </w:pPr>
      <w:r>
        <w:rPr>
          <w:bCs/>
          <w:b/>
        </w:rPr>
        <w:t xml:space="preserve">CR Number:</w:t>
      </w:r>
      <w:r>
        <w:t xml:space="preserve"> </w:t>
      </w:r>
      <w:r>
        <w:t xml:space="preserve">1010987654</w:t>
      </w:r>
    </w:p>
    <w:p>
      <w:pPr>
        <w:pStyle w:val="BodyText"/>
      </w:pPr>
      <w:r>
        <w:rPr>
          <w:bCs/>
          <w:b/>
        </w:rPr>
        <w:t xml:space="preserve">VAT Number:</w:t>
      </w:r>
      <w:r>
        <w:t xml:space="preserve"> </w:t>
      </w:r>
      <w:r>
        <w:t xml:space="preserve">310987654300003</w:t>
      </w:r>
    </w:p>
    <w:p>
      <w:pPr>
        <w:pStyle w:val="BodyText"/>
      </w:pPr>
      <w:r>
        <w:rPr>
          <w:bCs/>
          <w:b/>
        </w:rPr>
        <w:t xml:space="preserve">Contact:</w:t>
      </w:r>
      <w:r>
        <w:t xml:space="preserve"> </w:t>
      </w:r>
      <w:r>
        <w:t xml:space="preserve">Adv. Sarah Al-Rashid, Senior Partner</w:t>
      </w:r>
    </w:p>
    <w:p>
      <w:pPr>
        <w:pStyle w:val="BodyText"/>
      </w:pPr>
      <w:r>
        <w:rPr>
          <w:bCs/>
          <w:b/>
        </w:rPr>
        <w:t xml:space="preserve">Email:</w:t>
      </w:r>
      <w:r>
        <w:t xml:space="preserve"> </w:t>
      </w:r>
      <w:r>
        <w:t xml:space="preserve">legal@alrashid-partners.sa</w:t>
      </w:r>
    </w:p>
    <w:bookmarkEnd w:id="22"/>
    <w:p>
      <w:pPr>
        <w:pStyle w:val="BodyText"/>
      </w:pPr>
      <w:r>
        <w:t xml:space="preserve">1. Description of Purchase Order</w:t>
      </w:r>
    </w:p>
    <w:p>
      <w:pPr>
        <w:pStyle w:val="BodyText"/>
      </w:pPr>
      <w:r>
        <w:t xml:space="preserve">This</w:t>
      </w:r>
      <w:r>
        <w:t xml:space="preserve"> </w:t>
      </w:r>
      <w:r>
        <w:t xml:space="preserve">Purchase Order</w:t>
      </w:r>
      <w:r>
        <w:t xml:space="preserve"> </w:t>
      </w:r>
      <w:r>
        <w:t xml:space="preserve">is issued by Al-Nakheel Industrial &amp; Trading Co. Ltd., a duly registered entity operating in</w:t>
      </w:r>
      <w:r>
        <w:t xml:space="preserve"> </w:t>
      </w:r>
      <w:r>
        <w:t xml:space="preserve">Saudi Arabia Jeddah</w:t>
      </w:r>
      <w:r>
        <w:t xml:space="preserve">, to formally engage the services of a qualified</w:t>
      </w:r>
      <w:r>
        <w:t xml:space="preserve"> </w:t>
      </w:r>
      <w:r>
        <w:t xml:space="preserve">Lawyer</w:t>
      </w:r>
      <w:r>
        <w:t xml:space="preserve"> </w:t>
      </w:r>
      <w:r>
        <w:t xml:space="preserve">and legal consultancy firm for the provision of comprehensive legal advisory, representation, and compliance services. This document constitutes a binding commercial agreement between the Purchasing Party and the Service Provider for the scope of legal work described herein. The engagement of this</w:t>
      </w:r>
      <w:r>
        <w:t xml:space="preserve"> </w:t>
      </w:r>
      <w:r>
        <w:t xml:space="preserve">Lawyer</w:t>
      </w:r>
      <w:r>
        <w:t xml:space="preserve"> </w:t>
      </w:r>
      <w:r>
        <w:t xml:space="preserve">is necessitated by the company's ongoing expansion of commercial operations within the Jeddah metropolitan area and the need for specialized legal counsel in accordance with the laws of the Kingdom of Saudi Arabia.</w:t>
      </w:r>
    </w:p>
    <w:p>
      <w:pPr>
        <w:pStyle w:val="BodyText"/>
      </w:pPr>
      <w:r>
        <w:t xml:space="preserve">2. Scope of Legal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Corporate legal advisory and contract review for commercial agreements in Jeddah</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Representation before the Saudi Commercial Courts in Jeddah (up to 5 cases)</w:t>
            </w:r>
          </w:p>
        </w:tc>
        <w:tc>
          <w:tcPr/>
          <w:p>
            <w:pPr>
              <w:pStyle w:val="Compact"/>
              <w:jc w:val="left"/>
            </w:pPr>
            <w:r>
              <w:t xml:space="preserve">5 cases</w:t>
            </w:r>
          </w:p>
        </w:tc>
        <w:tc>
          <w:tcPr/>
          <w:p>
            <w:pPr>
              <w:pStyle w:val="Compact"/>
              <w:jc w:val="left"/>
            </w:pPr>
            <w:r>
              <w:t xml:space="preserve">18,000.00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Regulatory compliance audit and legal opinion on labor law matters</w:t>
            </w:r>
          </w:p>
        </w:tc>
        <w:tc>
          <w:tcPr/>
          <w:p>
            <w:pPr>
              <w:pStyle w:val="Compact"/>
              <w:jc w:val="left"/>
            </w:pPr>
            <w:r>
              <w:t xml:space="preserve">1 engagement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Drafting and negotiation of employment contracts and NDAs for 50+ employees</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Intellectual property registration and protection advisory (trademarks, patents)</w:t>
            </w:r>
          </w:p>
        </w:tc>
        <w:tc>
          <w:tcPr/>
          <w:p>
            <w:pPr>
              <w:pStyle w:val="Compact"/>
              <w:jc w:val="left"/>
            </w:pPr>
            <w:r>
              <w:t xml:space="preserve">3 filings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06</w:t>
            </w:r>
          </w:p>
        </w:tc>
        <w:tc>
          <w:tcPr/>
          <w:p>
            <w:pPr>
              <w:pStyle w:val="Compact"/>
              <w:jc w:val="left"/>
            </w:pPr>
            <w:r>
              <w:t xml:space="preserve">Monthly legal consultation sessions (in-person at Jeddah office)</w:t>
            </w:r>
          </w:p>
        </w:tc>
        <w:tc>
          <w:tcPr/>
          <w:p>
            <w:pPr>
              <w:pStyle w:val="Compact"/>
              <w:jc w:val="left"/>
            </w:pPr>
            <w:r>
              <w:t xml:space="preserve">12 sessions</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Urgent legal response and crisis management (on-call, up to 10 hours)</w:t>
            </w:r>
          </w:p>
        </w:tc>
        <w:tc>
          <w:tcPr/>
          <w:p>
            <w:pPr>
              <w:pStyle w:val="Compact"/>
              <w:jc w:val="left"/>
            </w:pPr>
            <w:r>
              <w:t xml:space="preserve">10 hours</w:t>
            </w:r>
          </w:p>
        </w:tc>
        <w:tc>
          <w:tcPr/>
          <w:p>
            <w:pPr>
              <w:pStyle w:val="Compact"/>
              <w:jc w:val="left"/>
            </w:pPr>
            <w:r>
              <w:t xml:space="preserve">3,500.00</w:t>
            </w:r>
          </w:p>
        </w:tc>
        <w:tc>
          <w:tcPr/>
          <w:p>
            <w:pPr>
              <w:pStyle w:val="Compact"/>
              <w:jc w:val="left"/>
            </w:pPr>
            <w:r>
              <w:t xml:space="preserve">35,000.00</w:t>
            </w:r>
          </w:p>
        </w:tc>
      </w:tr>
    </w:tbl>
    <w:p>
      <w:pPr>
        <w:pStyle w:val="BodyText"/>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(SAR)</w:t>
            </w:r>
          </w:p>
        </w:tc>
      </w:tr>
      <w:tr>
        <w:tc>
          <w:tcPr/>
          <w:p>
            <w:pPr>
              <w:pStyle w:val="Compact"/>
              <w:jc w:val="left"/>
            </w:pPr>
            <w:r>
              <w:t xml:space="preserve">Subtotal</w:t>
            </w:r>
          </w:p>
        </w:tc>
        <w:tc>
          <w:tcPr/>
          <w:p>
            <w:pPr>
              <w:pStyle w:val="Compact"/>
              <w:jc w:val="left"/>
            </w:pPr>
            <w:r>
              <w:t xml:space="preserve">324,500.00</w:t>
            </w:r>
          </w:p>
        </w:tc>
      </w:tr>
      <w:tr>
        <w:tc>
          <w:tcPr/>
          <w:p>
            <w:pPr>
              <w:pStyle w:val="Compact"/>
              <w:jc w:val="left"/>
            </w:pPr>
            <w:r>
              <w:t xml:space="preserve">VAT (15%)</w:t>
            </w:r>
          </w:p>
        </w:tc>
        <w:tc>
          <w:tcPr/>
          <w:p>
            <w:pPr>
              <w:pStyle w:val="Compact"/>
              <w:jc w:val="left"/>
            </w:pPr>
            <w:r>
              <w:t xml:space="preserve">48,675.00</w:t>
            </w:r>
          </w:p>
        </w:tc>
      </w:tr>
      <w:tr>
        <w:tc>
          <w:tcPr/>
          <w:p>
            <w:pPr>
              <w:pStyle w:val="Compact"/>
              <w:jc w:val="left"/>
            </w:pPr>
            <w:r>
              <w:rPr>
                <w:bCs/>
                <w:b/>
              </w:rPr>
              <w:t xml:space="preserve">Total Amount Due</w:t>
            </w:r>
          </w:p>
        </w:tc>
        <w:tc>
          <w:tcPr/>
          <w:p>
            <w:pPr>
              <w:pStyle w:val="Compact"/>
              <w:jc w:val="left"/>
            </w:pPr>
            <w:r>
              <w:rPr>
                <w:bCs/>
                <w:b/>
              </w:rPr>
              <w:t xml:space="preserve">373,175.00</w:t>
            </w:r>
          </w:p>
        </w:tc>
      </w:tr>
    </w:tbl>
    <w:p>
      <w:pPr>
        <w:pStyle w:val="BodyText"/>
      </w:pPr>
      <w:r>
        <w:t xml:space="preserve">4. Payment Terms</w:t>
      </w:r>
    </w:p>
    <w:p>
      <w:pPr>
        <w:numPr>
          <w:ilvl w:val="0"/>
          <w:numId w:val="1001"/>
        </w:numPr>
        <w:pStyle w:val="Compact"/>
      </w:pPr>
      <w:r>
        <w:t xml:space="preserve">Payment shall be made in three equal installments: 40% upon execution of this</w:t>
      </w:r>
      <w:r>
        <w:t xml:space="preserve"> </w:t>
      </w:r>
      <w:r>
        <w:t xml:space="preserve">Purchase Order</w:t>
      </w:r>
      <w:r>
        <w:t xml:space="preserve">, 35% upon completion of the first six months of service, and 25% upon final delivery and acceptance of all legal work.</w:t>
      </w:r>
    </w:p>
    <w:p>
      <w:pPr>
        <w:numPr>
          <w:ilvl w:val="0"/>
          <w:numId w:val="1001"/>
        </w:numPr>
        <w:pStyle w:val="Compact"/>
      </w:pPr>
      <w:r>
        <w:t xml:space="preserve">All payments shall be transferred via bank wire to the designated account of the</w:t>
      </w:r>
      <w:r>
        <w:t xml:space="preserve"> </w:t>
      </w:r>
      <w:r>
        <w:t xml:space="preserve">Lawyer</w:t>
      </w:r>
      <w:r>
        <w:t xml:space="preserve">'s firm at Al Rajhi Bank, Jeddah Branch, IBAN: SA03 8000 0000 6080 1016 7519.</w:t>
      </w:r>
    </w:p>
    <w:p>
      <w:pPr>
        <w:numPr>
          <w:ilvl w:val="0"/>
          <w:numId w:val="1001"/>
        </w:numPr>
        <w:pStyle w:val="Compact"/>
      </w:pPr>
      <w:r>
        <w:t xml:space="preserve">Invoices must be submitted no later than the 5th business day of the following month. Payment is due within 30 calendar days of invoice receipt.</w:t>
      </w:r>
    </w:p>
    <w:p>
      <w:pPr>
        <w:numPr>
          <w:ilvl w:val="0"/>
          <w:numId w:val="1001"/>
        </w:numPr>
        <w:pStyle w:val="Compact"/>
      </w:pPr>
      <w:r>
        <w:t xml:space="preserve">Late payments shall attract a penalty of 1.5% per month as per Saudi commercial law provisions.</w:t>
      </w:r>
    </w:p>
    <w:p>
      <w:pPr>
        <w:pStyle w:val="FirstParagraph"/>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and shall be interpreted in accordance with the laws of the Kingdom of Saudi Arabia, including the Saudi Civil Transactions Law and the Saudi Commercial Law.</w:t>
      </w:r>
    </w:p>
    <w:p>
      <w:pPr>
        <w:numPr>
          <w:ilvl w:val="0"/>
          <w:numId w:val="1002"/>
        </w:numPr>
        <w:pStyle w:val="Compact"/>
      </w:pPr>
      <w:r>
        <w:t xml:space="preserve">The</w:t>
      </w:r>
      <w:r>
        <w:t xml:space="preserve"> </w:t>
      </w:r>
      <w:r>
        <w:t xml:space="preserve">Lawyer</w:t>
      </w:r>
      <w:r>
        <w:t xml:space="preserve"> </w:t>
      </w:r>
      <w:r>
        <w:t xml:space="preserve">and all associated legal professionals engaged under this order must hold valid licenses issued by the Saudi Ministry of Justice and be registered with the Saudi Bar Association.</w:t>
      </w:r>
    </w:p>
    <w:p>
      <w:pPr>
        <w:numPr>
          <w:ilvl w:val="0"/>
          <w:numId w:val="1002"/>
        </w:numPr>
        <w:pStyle w:val="Compact"/>
      </w:pPr>
      <w:r>
        <w:t xml:space="preserve">All legal services shall be performed in the jurisdiction of</w:t>
      </w:r>
      <w:r>
        <w:t xml:space="preserve"> </w:t>
      </w:r>
      <w:r>
        <w:t xml:space="preserve">Saudi Arabia Jeddah</w:t>
      </w:r>
      <w:r>
        <w:t xml:space="preserve">, and any disputes arising from this engagement shall be subject to the exclusive jurisdiction of the Commercial Courts in Jeddah.</w:t>
      </w:r>
    </w:p>
    <w:p>
      <w:pPr>
        <w:numPr>
          <w:ilvl w:val="0"/>
          <w:numId w:val="1002"/>
        </w:numPr>
        <w:pStyle w:val="Compact"/>
      </w:pPr>
      <w:r>
        <w:t xml:space="preserve">The</w:t>
      </w:r>
      <w:r>
        <w:t xml:space="preserve"> </w:t>
      </w:r>
      <w:r>
        <w:t xml:space="preserve">Lawyer</w:t>
      </w:r>
      <w:r>
        <w:t xml:space="preserve"> </w:t>
      </w:r>
      <w:r>
        <w:t xml:space="preserve">shall maintain strict confidentiality regarding all client information, trade secrets, and business strategies disclosed during the course of this engagement, in compliance with Saudi data protection regulations.</w:t>
      </w:r>
    </w:p>
    <w:p>
      <w:pPr>
        <w:numPr>
          <w:ilvl w:val="0"/>
          <w:numId w:val="1002"/>
        </w:numPr>
        <w:pStyle w:val="Compact"/>
      </w:pPr>
      <w:r>
        <w:t xml:space="preserve">The Service Provider shall not engage in any conflict of interest that may compromise the independence or objectivity of the legal advice provided to the Purchasing Party.</w:t>
      </w:r>
    </w:p>
    <w:p>
      <w:pPr>
        <w:numPr>
          <w:ilvl w:val="0"/>
          <w:numId w:val="1002"/>
        </w:numPr>
        <w:pStyle w:val="Compact"/>
      </w:pPr>
      <w:r>
        <w:t xml:space="preserve">Either party may terminate this</w:t>
      </w:r>
      <w:r>
        <w:t xml:space="preserve"> </w:t>
      </w:r>
      <w:r>
        <w:t xml:space="preserve">Purchase Order</w:t>
      </w:r>
      <w:r>
        <w:t xml:space="preserve"> </w:t>
      </w:r>
      <w:r>
        <w:t xml:space="preserve">with 30 days' written notice. In the event of termination, the Purchasing Party shall be liable only for services rendered up to the date of termination.</w:t>
      </w:r>
    </w:p>
    <w:p>
      <w:pPr>
        <w:numPr>
          <w:ilvl w:val="0"/>
          <w:numId w:val="1002"/>
        </w:numPr>
        <w:pStyle w:val="Compact"/>
      </w:pPr>
      <w:r>
        <w:t xml:space="preserve">The</w:t>
      </w:r>
      <w:r>
        <w:t xml:space="preserve"> </w:t>
      </w:r>
      <w:r>
        <w:t xml:space="preserve">Lawyer</w:t>
      </w:r>
      <w:r>
        <w:t xml:space="preserve"> </w:t>
      </w:r>
      <w:r>
        <w:t xml:space="preserve">shall provide a written progress report to the Purchasing Party on the 1st of every month detailing all legal matters handled, court appearances, and pending actions.</w:t>
      </w:r>
    </w:p>
    <w:p>
      <w:pPr>
        <w:numPr>
          <w:ilvl w:val="0"/>
          <w:numId w:val="1002"/>
        </w:numPr>
        <w:pStyle w:val="Compact"/>
      </w:pPr>
      <w:r>
        <w:t xml:space="preserve">All deliverables, including legal opinions, drafted contracts, and court filings, shall be provided in both Arabic and English languages.</w:t>
      </w:r>
    </w:p>
    <w:p>
      <w:pPr>
        <w:numPr>
          <w:ilvl w:val="0"/>
          <w:numId w:val="1002"/>
        </w:numPr>
        <w:pStyle w:val="Compact"/>
      </w:pPr>
      <w:r>
        <w:t xml:space="preserve">This</w:t>
      </w:r>
      <w:r>
        <w:t xml:space="preserve"> </w:t>
      </w:r>
      <w:r>
        <w:t xml:space="preserve">Purchase Order</w:t>
      </w:r>
      <w:r>
        <w:t xml:space="preserve"> </w:t>
      </w:r>
      <w:r>
        <w:t xml:space="preserve">does not create a partnership, joint venture, or employment relationship between the parties. The</w:t>
      </w:r>
      <w:r>
        <w:t xml:space="preserve"> </w:t>
      </w:r>
      <w:r>
        <w:t xml:space="preserve">Lawyer</w:t>
      </w:r>
      <w:r>
        <w:t xml:space="preserve"> </w:t>
      </w:r>
      <w:r>
        <w:t xml:space="preserve">is engaged strictly as an independent professional service provider.</w:t>
      </w:r>
    </w:p>
    <w:p>
      <w:pPr>
        <w:pStyle w:val="FirstParagraph"/>
      </w:pPr>
      <w:r>
        <w:t xml:space="preserve">6.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legal services in</w:t>
      </w:r>
      <w:r>
        <w:t xml:space="preserve"> </w:t>
      </w:r>
      <w:r>
        <w:t xml:space="preserve">Saudi Arabia Jeddah</w:t>
      </w:r>
      <w:r>
        <w:t xml:space="preserve">. This document is executed in two (2) original copies, one for each party, and carries equal legal weight.</w:t>
      </w:r>
    </w:p>
    <w:p>
      <w:pPr>
        <w:pStyle w:val="BodyText"/>
      </w:pPr>
      <w:r>
        <w:rPr>
          <w:bCs/>
          <w:b/>
        </w:rPr>
        <w:t xml:space="preserve">For the Purchasing Party</w:t>
      </w:r>
      <w:r>
        <w:br/>
      </w:r>
      <w:r>
        <w:t xml:space="preserve">Al-Nakheel Industrial &amp; Trading Co. Ltd.</w:t>
      </w:r>
      <w:r>
        <w:br/>
      </w:r>
      <w:r>
        <w:t xml:space="preserve">Name: Khalid Al-Otaibi</w:t>
      </w:r>
      <w:r>
        <w:br/>
      </w:r>
      <w:r>
        <w:t xml:space="preserve">Title: Procurement Manager</w:t>
      </w:r>
      <w:r>
        <w:br/>
      </w:r>
      <w:r>
        <w:t xml:space="preserve">Date: _______________</w:t>
      </w:r>
    </w:p>
    <w:p>
      <w:pPr>
        <w:pStyle w:val="BodyText"/>
      </w:pPr>
      <w:r>
        <w:rPr>
          <w:bCs/>
          <w:b/>
        </w:rPr>
        <w:t xml:space="preserve">For the Service Provider (Lawyer)</w:t>
      </w:r>
      <w:r>
        <w:br/>
      </w:r>
      <w:r>
        <w:t xml:space="preserve">Al-Rashid &amp; Partners Legal Consultancy</w:t>
      </w:r>
      <w:r>
        <w:br/>
      </w:r>
      <w:r>
        <w:t xml:space="preserve">Name: Adv. Sarah Al-Rashid</w:t>
      </w:r>
      <w:r>
        <w:br/>
      </w:r>
      <w:r>
        <w:t xml:space="preserve">Title: Senior Partner / Licensed Lawyer</w:t>
      </w:r>
      <w:r>
        <w:br/>
      </w:r>
      <w:r>
        <w:t xml:space="preserve">Date: _______________</w:t>
      </w:r>
    </w:p>
    <w:p>
      <w:pPr>
        <w:pStyle w:val="BodyText"/>
      </w:pPr>
      <w:r>
        <w:t xml:space="preserve">This Purchase Order was prepared and issued in Jeddah, Kingdom of Saudi Arabia. PO Ref: SA-JED-2025-04872.</w:t>
      </w:r>
      <w:r>
        <w:br/>
      </w:r>
      <w:r>
        <w:t xml:space="preserve">For queries regarding this Purchase Order, contact the Procurement Department at Al-Nakheel Industrial &amp; Trading Co. Ltd., Jeddah, Saudi Arabia.</w:t>
      </w:r>
      <w:r>
        <w:br/>
      </w:r>
      <w:r>
        <w:t xml:space="preserve">© 2025 Al-Nakheel Industrial &amp; Trading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Saudi Arabia Jeddah</dc:title>
  <dc:creator/>
  <dc:language>en</dc:language>
  <cp:keywords/>
  <dcterms:created xsi:type="dcterms:W3CDTF">2026-10-10T07:01:55Z</dcterms:created>
  <dcterms:modified xsi:type="dcterms:W3CDTF">2026-10-10T07:01:55Z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