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PO No: UAE-DXB-2025-04872</w:t>
      </w:r>
    </w:p>
    <w:bookmarkStart w:id="20" w:name="purchase-order"/>
    <w:p>
      <w:pPr>
        <w:pStyle w:val="Heading1"/>
      </w:pPr>
      <w:r>
        <w:t xml:space="preserve">PURCHASE ORDER</w:t>
      </w:r>
    </w:p>
    <w:p>
      <w:pPr>
        <w:pStyle w:val="FirstParagraph"/>
      </w:pPr>
      <w:r>
        <w:t xml:space="preserve">Legal Professional Services – Engagement of a Licensed Lawyer</w:t>
      </w:r>
    </w:p>
    <w:p>
      <w:pPr>
        <w:pStyle w:val="BodyText"/>
      </w:pPr>
      <w:r>
        <w:t xml:space="preserve">United Arab Emirates Dubai | Jurisdiction: Dubai Courts &amp; DIFC</w:t>
      </w:r>
    </w:p>
    <w:p>
      <w:pPr>
        <w:pStyle w:val="BodyText"/>
      </w:pPr>
      <w:r>
        <w:t xml:space="preserve">CONFIDENTIAL – LEGAL SERVICES</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Al Noor Trading &amp; Logistics FZE</w:t>
      </w:r>
    </w:p>
    <w:p>
      <w:pPr>
        <w:pStyle w:val="BodyText"/>
      </w:pPr>
      <w:r>
        <w:rPr>
          <w:bCs/>
          <w:b/>
        </w:rPr>
        <w:t xml:space="preserve">Trade License No:</w:t>
      </w:r>
      <w:r>
        <w:t xml:space="preserve"> </w:t>
      </w:r>
      <w:r>
        <w:t xml:space="preserve">10487235</w:t>
      </w:r>
    </w:p>
    <w:p>
      <w:pPr>
        <w:pStyle w:val="BodyText"/>
      </w:pPr>
      <w:r>
        <w:rPr>
          <w:bCs/>
          <w:b/>
        </w:rPr>
        <w:t xml:space="preserve">Address:</w:t>
      </w:r>
      <w:r>
        <w:t xml:space="preserve"> </w:t>
      </w:r>
      <w:r>
        <w:t xml:space="preserve">Office 1204, Level 12, Burj Khalifa, Downtown Dubai, United Arab Emirates</w:t>
      </w:r>
    </w:p>
    <w:p>
      <w:pPr>
        <w:pStyle w:val="BodyText"/>
      </w:pPr>
      <w:r>
        <w:rPr>
          <w:bCs/>
          <w:b/>
        </w:rPr>
        <w:t xml:space="preserve">PO Box:</w:t>
      </w:r>
      <w:r>
        <w:t xml:space="preserve"> </w:t>
      </w:r>
      <w:r>
        <w:t xml:space="preserve">38472, Dubai, United Arab Emirates</w:t>
      </w:r>
    </w:p>
    <w:p>
      <w:pPr>
        <w:pStyle w:val="BodyText"/>
      </w:pPr>
      <w:r>
        <w:rPr>
          <w:bCs/>
          <w:b/>
        </w:rPr>
        <w:t xml:space="preserve">Phone:</w:t>
      </w:r>
      <w:r>
        <w:t xml:space="preserve"> </w:t>
      </w:r>
      <w:r>
        <w:t xml:space="preserve">+971 4 555 8821</w:t>
      </w:r>
    </w:p>
    <w:p>
      <w:pPr>
        <w:pStyle w:val="BodyText"/>
      </w:pPr>
      <w:r>
        <w:rPr>
          <w:bCs/>
          <w:b/>
        </w:rPr>
        <w:t xml:space="preserve">Email:</w:t>
      </w:r>
      <w:r>
        <w:t xml:space="preserve"> </w:t>
      </w:r>
      <w:r>
        <w:t xml:space="preserve">procurement@alnoor-fze.ae</w:t>
      </w:r>
    </w:p>
    <w:p>
      <w:pPr>
        <w:pStyle w:val="BodyText"/>
      </w:pPr>
      <w:r>
        <w:rPr>
          <w:bCs/>
          <w:b/>
        </w:rPr>
        <w:t xml:space="preserve">Authorized Signatory:</w:t>
      </w:r>
      <w:r>
        <w:t xml:space="preserve"> </w:t>
      </w:r>
      <w:r>
        <w:t xml:space="preserve">Mr. Khalid Al Mansoori, Chief Financial Officer</w:t>
      </w:r>
    </w:p>
    <w:bookmarkEnd w:id="21"/>
    <w:bookmarkStart w:id="22" w:name="provided-by-vendor-service-provider"/>
    <w:p>
      <w:pPr>
        <w:pStyle w:val="Heading3"/>
      </w:pPr>
      <w:r>
        <w:t xml:space="preserve">PROVIDED BY (Vendor / Service Provider)</w:t>
      </w:r>
    </w:p>
    <w:p>
      <w:pPr>
        <w:pStyle w:val="FirstParagraph"/>
      </w:pPr>
      <w:r>
        <w:rPr>
          <w:bCs/>
          <w:b/>
        </w:rPr>
        <w:t xml:space="preserve">Law Firm:</w:t>
      </w:r>
      <w:r>
        <w:t xml:space="preserve"> </w:t>
      </w:r>
      <w:r>
        <w:t xml:space="preserve">Al Rashid &amp; Partners Legal Consultants LLC</w:t>
      </w:r>
    </w:p>
    <w:p>
      <w:pPr>
        <w:pStyle w:val="BodyText"/>
      </w:pPr>
      <w:r>
        <w:rPr>
          <w:bCs/>
          <w:b/>
        </w:rPr>
        <w:t xml:space="preserve">Lawyer:</w:t>
      </w:r>
      <w:r>
        <w:t xml:space="preserve"> </w:t>
      </w:r>
      <w:r>
        <w:t xml:space="preserve">Adv. Fatima Al Zahra, Senior Partner &amp; Licensed Advocate</w:t>
      </w:r>
    </w:p>
    <w:p>
      <w:pPr>
        <w:pStyle w:val="BodyText"/>
      </w:pPr>
      <w:r>
        <w:rPr>
          <w:bCs/>
          <w:b/>
        </w:rPr>
        <w:t xml:space="preserve">Bar Registration No:</w:t>
      </w:r>
      <w:r>
        <w:t xml:space="preserve"> </w:t>
      </w:r>
      <w:r>
        <w:t xml:space="preserve">DIFC-ADV-2019-0342</w:t>
      </w:r>
    </w:p>
    <w:p>
      <w:pPr>
        <w:pStyle w:val="BodyText"/>
      </w:pPr>
      <w:r>
        <w:rPr>
          <w:bCs/>
          <w:b/>
        </w:rPr>
        <w:t xml:space="preserve">Address:</w:t>
      </w:r>
      <w:r>
        <w:t xml:space="preserve"> </w:t>
      </w:r>
      <w:r>
        <w:t xml:space="preserve">Suite 801, Gate Village 7, DIFC, Dubai, United Arab Emirates</w:t>
      </w:r>
    </w:p>
    <w:p>
      <w:pPr>
        <w:pStyle w:val="BodyText"/>
      </w:pPr>
      <w:r>
        <w:rPr>
          <w:bCs/>
          <w:b/>
        </w:rPr>
        <w:t xml:space="preserve">Phone:</w:t>
      </w:r>
      <w:r>
        <w:t xml:space="preserve"> </w:t>
      </w:r>
      <w:r>
        <w:t xml:space="preserve">+971 4 330 6654</w:t>
      </w:r>
    </w:p>
    <w:p>
      <w:pPr>
        <w:pStyle w:val="BodyText"/>
      </w:pPr>
      <w:r>
        <w:rPr>
          <w:bCs/>
          <w:b/>
        </w:rPr>
        <w:t xml:space="preserve">Email:</w:t>
      </w:r>
      <w:r>
        <w:t xml:space="preserve"> </w:t>
      </w:r>
      <w:r>
        <w:t xml:space="preserve">f.alzahra@alrashidpartners.ae</w:t>
      </w:r>
    </w:p>
    <w:p>
      <w:pPr>
        <w:pStyle w:val="BodyText"/>
      </w:pPr>
      <w:r>
        <w:rPr>
          <w:bCs/>
          <w:b/>
        </w:rPr>
        <w:t xml:space="preserve">Specialization:</w:t>
      </w:r>
      <w:r>
        <w:t xml:space="preserve"> </w:t>
      </w:r>
      <w:r>
        <w:t xml:space="preserve">Corporate Law, Commercial Disputes, Contract Drafting</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UAE-DXB-2025-04872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Service Start Date</w:t>
            </w:r>
          </w:p>
        </w:tc>
        <w:tc>
          <w:tcPr/>
          <w:p>
            <w:pPr>
              <w:pStyle w:val="Compact"/>
              <w:jc w:val="left"/>
            </w:pPr>
            <w:r>
              <w:t xml:space="preserve">23 June 2025</w:t>
            </w:r>
          </w:p>
        </w:tc>
      </w:tr>
      <w:tr>
        <w:tc>
          <w:tcPr/>
          <w:p>
            <w:pPr>
              <w:pStyle w:val="Compact"/>
              <w:jc w:val="left"/>
            </w:pPr>
            <w:r>
              <w:t xml:space="preserve">Expected Completion Date</w:t>
            </w:r>
          </w:p>
        </w:tc>
        <w:tc>
          <w:tcPr/>
          <w:p>
            <w:pPr>
              <w:pStyle w:val="Compact"/>
              <w:jc w:val="left"/>
            </w:pPr>
            <w:r>
              <w:t xml:space="preserve">30 September 2025</w:t>
            </w:r>
          </w:p>
        </w:tc>
      </w:tr>
      <w:tr>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Payment Terms</w:t>
            </w:r>
          </w:p>
        </w:tc>
        <w:tc>
          <w:tcPr/>
          <w:p>
            <w:pPr>
              <w:pStyle w:val="Compact"/>
              <w:jc w:val="left"/>
            </w:pPr>
            <w:r>
              <w:t xml:space="preserve">50% upon execution of this Purchase Order; 50% upon final deliverable acceptance</w:t>
            </w:r>
          </w:p>
        </w:tc>
      </w:tr>
      <w:tr>
        <w:tc>
          <w:tcPr/>
          <w:p>
            <w:pPr>
              <w:pStyle w:val="Compact"/>
              <w:jc w:val="left"/>
            </w:pPr>
            <w:r>
              <w:t xml:space="preserve">Governing Jurisdiction</w:t>
            </w:r>
          </w:p>
        </w:tc>
        <w:tc>
          <w:tcPr/>
          <w:p>
            <w:pPr>
              <w:pStyle w:val="Compact"/>
              <w:jc w:val="left"/>
            </w:pPr>
            <w:r>
              <w:t xml:space="preserve">United Arab Emirates Dubai – Dubai Courts / DIFC (as applicable per matter)</w:t>
            </w:r>
          </w:p>
        </w:tc>
      </w:tr>
    </w:tbl>
    <w:bookmarkEnd w:id="23"/>
    <w:bookmarkStart w:id="24" w:name="X24e7dbe09b6314ff85fffa1342e612757954600"/>
    <w:p>
      <w:pPr>
        <w:pStyle w:val="Heading2"/>
      </w:pPr>
      <w:r>
        <w:t xml:space="preserve">2. Scope of Legal Services – Lawyer Engagement</w:t>
      </w:r>
    </w:p>
    <w:p>
      <w:pPr>
        <w:pStyle w:val="FirstParagraph"/>
      </w:pPr>
      <w:r>
        <w:t xml:space="preserve">This Purchase Order is issued by Al Noor Trading &amp; Logistics FZE to formally engage the services of a qualified and licensed Lawyer, Adv. Fatima Al Zahra of Al Rashid &amp; Partners Legal Consultants LLC, to provide comprehensive legal counsel and representation in the United Arab Emirates Dubai. The scope of work under this Purchase Order encompasses the following professional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Legal Service</w:t>
            </w:r>
          </w:p>
        </w:tc>
        <w:tc>
          <w:tcPr/>
          <w:p>
            <w:pPr>
              <w:pStyle w:val="Compact"/>
              <w:jc w:val="left"/>
            </w:pPr>
            <w:r>
              <w:t xml:space="preserve">Qty / 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Drafting, review, and negotiation of a master supply agreement with an international logistics partner, ensuring full compliance with UAE Federal Commercial Transactions Law and Dubai-specific trade regulations.</w:t>
            </w:r>
          </w:p>
        </w:tc>
        <w:tc>
          <w:tcPr/>
          <w:p>
            <w:pPr>
              <w:pStyle w:val="Compact"/>
              <w:jc w:val="left"/>
            </w:pPr>
            <w:r>
              <w:t xml:space="preserve">40 hrs</w:t>
            </w:r>
          </w:p>
        </w:tc>
        <w:tc>
          <w:tcPr/>
          <w:p>
            <w:pPr>
              <w:pStyle w:val="Compact"/>
              <w:jc w:val="left"/>
            </w:pPr>
            <w:r>
              <w:t xml:space="preserve">1,200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Representation and advocacy before the Dubai Courts in a pending commercial dispute (Case No. 2025/1847), including filing of pleadings, attendance at hearings, and preparation of legal memoranda.</w:t>
            </w:r>
          </w:p>
        </w:tc>
        <w:tc>
          <w:tcPr/>
          <w:p>
            <w:pPr>
              <w:pStyle w:val="Compact"/>
              <w:jc w:val="left"/>
            </w:pPr>
            <w:r>
              <w:t xml:space="preserve">60 hrs</w:t>
            </w:r>
          </w:p>
        </w:tc>
        <w:tc>
          <w:tcPr/>
          <w:p>
            <w:pPr>
              <w:pStyle w:val="Compact"/>
              <w:jc w:val="left"/>
            </w:pPr>
            <w:r>
              <w:t xml:space="preserve">1,500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Corporate governance advisory: structuring a new free-zone subsidiary in Jebel Ali Free Zone (JAFZA), including preparation of Memorandum of Association, Articles of Association, and registration filings with the Department of Economic Development, Dubai.</w:t>
            </w:r>
          </w:p>
        </w:tc>
        <w:tc>
          <w:tcPr/>
          <w:p>
            <w:pPr>
              <w:pStyle w:val="Compact"/>
              <w:jc w:val="left"/>
            </w:pPr>
            <w:r>
              <w:t xml:space="preserve">30 hrs</w:t>
            </w:r>
          </w:p>
        </w:tc>
        <w:tc>
          <w:tcPr/>
          <w:p>
            <w:pPr>
              <w:pStyle w:val="Compact"/>
              <w:jc w:val="left"/>
            </w:pPr>
            <w:r>
              <w:t xml:space="preserve">1,200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Compliance audit of existing employment contracts against UAE Labour Law (Federal Decree-Law No. 33 of 2021) and Dubai Municipality labor regulations; issuance of a written compliance report with remedial recommendations.</w:t>
            </w:r>
          </w:p>
        </w:tc>
        <w:tc>
          <w:tcPr/>
          <w:p>
            <w:pPr>
              <w:pStyle w:val="Compact"/>
              <w:jc w:val="left"/>
            </w:pPr>
            <w:r>
              <w:t xml:space="preserve">25 hrs</w:t>
            </w:r>
          </w:p>
        </w:tc>
        <w:tc>
          <w:tcPr/>
          <w:p>
            <w:pPr>
              <w:pStyle w:val="Compact"/>
              <w:jc w:val="left"/>
            </w:pPr>
            <w:r>
              <w:t xml:space="preserve">1,000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Intellectual property protection: filing and prosecution of two trademark applications with the UAE Ministry of Economy and one patent application with the UAE Patent and Trademark Office, Dubai branch.</w:t>
            </w:r>
          </w:p>
        </w:tc>
        <w:tc>
          <w:tcPr/>
          <w:p>
            <w:pPr>
              <w:pStyle w:val="Compact"/>
              <w:jc w:val="left"/>
            </w:pPr>
            <w:r>
              <w:t xml:space="preserve">20 hrs</w:t>
            </w:r>
          </w:p>
        </w:tc>
        <w:tc>
          <w:tcPr/>
          <w:p>
            <w:pPr>
              <w:pStyle w:val="Compact"/>
              <w:jc w:val="left"/>
            </w:pPr>
            <w:r>
              <w:t xml:space="preserve">1,300</w:t>
            </w:r>
          </w:p>
        </w:tc>
        <w:tc>
          <w:tcPr/>
          <w:p>
            <w:pPr>
              <w:pStyle w:val="Compact"/>
              <w:jc w:val="left"/>
            </w:pPr>
            <w:r>
              <w:t xml:space="preserve">26,000.00</w:t>
            </w:r>
          </w:p>
        </w:tc>
      </w:tr>
      <w:tr>
        <w:tc>
          <w:tcPr>
            <w:gridSpan w:val="4"/>
          </w:tcPr>
          <w:p>
            <w:pPr>
              <w:pStyle w:val="Compact"/>
              <w:jc w:val="left"/>
            </w:pPr>
            <w:r>
              <w:t xml:space="preserve">TOTAL VALUE OF THIS PURCHASE ORDER</w:t>
            </w:r>
          </w:p>
        </w:tc>
        <w:tc>
          <w:tcPr/>
          <w:p>
            <w:pPr>
              <w:pStyle w:val="Compact"/>
              <w:jc w:val="left"/>
            </w:pPr>
            <w:r>
              <w:t xml:space="preserve">AED 225,000.00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Engagement of the Lawyer:</w:t>
      </w:r>
      <w:r>
        <w:t xml:space="preserve"> </w:t>
      </w:r>
      <w:r>
        <w:t xml:space="preserve">The Lawyer identified in this Purchase Order shall act as the sole legal representative of the Buyer for all matters described herein. Any delegation of tasks to associate attorneys or paralegals within the firm must be pre-approved in writing by the Buyer's authorized signatory.</w:t>
      </w:r>
    </w:p>
    <w:p>
      <w:pPr>
        <w:numPr>
          <w:ilvl w:val="0"/>
          <w:numId w:val="1001"/>
        </w:numPr>
        <w:pStyle w:val="Compact"/>
      </w:pPr>
      <w:r>
        <w:rPr>
          <w:bCs/>
          <w:b/>
        </w:rPr>
        <w:t xml:space="preserve">Professional Standards:</w:t>
      </w:r>
      <w:r>
        <w:t xml:space="preserve"> </w:t>
      </w:r>
      <w:r>
        <w:t xml:space="preserve">The Lawyer shall perform all services in strict accordance with the UAE Federal Law No. 23 of 1991 on the Organization of the Legal Profession, the DIFC Legal Profession Regulations, and the ethical code of conduct of the Dubai Legal Affairs Department.</w:t>
      </w:r>
    </w:p>
    <w:p>
      <w:pPr>
        <w:numPr>
          <w:ilvl w:val="0"/>
          <w:numId w:val="1001"/>
        </w:numPr>
        <w:pStyle w:val="Compact"/>
      </w:pPr>
      <w:r>
        <w:rPr>
          <w:bCs/>
          <w:b/>
        </w:rPr>
        <w:t xml:space="preserve">Confidentiality:</w:t>
      </w:r>
      <w:r>
        <w:t xml:space="preserve"> </w:t>
      </w:r>
      <w:r>
        <w:t xml:space="preserve">All information, documents, and communications exchanged under this Purchase Order shall be treated as strictly confidential. The Lawyer shall not disclose any proprietary business information of the Buyer to any third party without prior written consent, in compliance with UAE Federal Decree-Law No. 46 of 2021 on the Protection of Personal Data.</w:t>
      </w:r>
    </w:p>
    <w:p>
      <w:pPr>
        <w:numPr>
          <w:ilvl w:val="0"/>
          <w:numId w:val="1001"/>
        </w:numPr>
        <w:pStyle w:val="Compact"/>
      </w:pPr>
      <w:r>
        <w:rPr>
          <w:bCs/>
          <w:b/>
        </w:rPr>
        <w:t xml:space="preserve">Payment Schedule:</w:t>
      </w:r>
      <w:r>
        <w:t xml:space="preserve"> </w:t>
      </w:r>
      <w:r>
        <w:t xml:space="preserve">An initial payment of AED 112,500.00 (50%) shall be remitted via bank transfer to the firm's designated account within five (5) business days of the execution of this Purchase Order. The remaining balance of AED 112,500.00 (50%) shall be due within ten (10) business days following the Buyer's written acceptance of all final deliverables.</w:t>
      </w:r>
    </w:p>
    <w:p>
      <w:pPr>
        <w:numPr>
          <w:ilvl w:val="0"/>
          <w:numId w:val="1001"/>
        </w:numPr>
        <w:pStyle w:val="Compact"/>
      </w:pPr>
      <w:r>
        <w:rPr>
          <w:bCs/>
          <w:b/>
        </w:rPr>
        <w:t xml:space="preserve">Expenses and Court Fees:</w:t>
      </w:r>
      <w:r>
        <w:t xml:space="preserve"> </w:t>
      </w:r>
      <w:r>
        <w:t xml:space="preserve">All court filing fees, government registration charges, notary fees, and third-party expert witness costs incurred in the United Arab Emirates Dubai shall be billed separately at actual cost with supporting receipts and are not included in the hourly rates stated above.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early termination, the Buyer shall be liable for all services rendered and expenses incurred up to the date of termination.</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arbitration administered by the Dubai International Arbitration Centre (DIAC) in accordance with its rules. The seat of arbitration shall be Dubai, United Arab Emirates, and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sanctions, or changes in UAE or Dubai legislation.</w:t>
      </w:r>
    </w:p>
    <w:p>
      <w:pPr>
        <w:numPr>
          <w:ilvl w:val="0"/>
          <w:numId w:val="1001"/>
        </w:numPr>
        <w:pStyle w:val="Compact"/>
      </w:pPr>
      <w:r>
        <w:rPr>
          <w:bCs/>
          <w:b/>
        </w:rPr>
        <w:t xml:space="preserve">Validity:</w:t>
      </w:r>
      <w:r>
        <w:t xml:space="preserve"> </w:t>
      </w:r>
      <w:r>
        <w:t xml:space="preserve">This Purchase Order shall remain valid for a period of one hundred and twenty (120) days from the date of issue unless extended in writing by both parties.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service descriptions outlined in this Purchase Order for the engagement of the Lawyer in the United Arab Emirates Dubai. This document constitutes a binding agreement for the procurement of legal professional services.</w:t>
      </w:r>
    </w:p>
    <w:bookmarkEnd w:id="26"/>
    <w:p>
      <w:pPr>
        <w:pStyle w:val="BodyText"/>
      </w:pPr>
      <w:r>
        <w:rPr>
          <w:bCs/>
          <w:b/>
        </w:rPr>
        <w:t xml:space="preserve">For and on behalf of the Buyer:</w:t>
      </w:r>
    </w:p>
    <w:p>
      <w:pPr>
        <w:pStyle w:val="BodyText"/>
      </w:pPr>
      <w:r>
        <w:t xml:space="preserve">Al Noor Trading &amp; Logistics FZE</w:t>
      </w:r>
    </w:p>
    <w:p>
      <w:pPr>
        <w:pStyle w:val="BodyText"/>
      </w:pPr>
      <w:r>
        <w:t xml:space="preserve">Name: Mr. Khalid Al Mansoori</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Vendor (Lawyer):</w:t>
      </w:r>
    </w:p>
    <w:p>
      <w:pPr>
        <w:pStyle w:val="BodyText"/>
      </w:pPr>
      <w:r>
        <w:t xml:space="preserve">Al Rashid &amp; Partners Legal Consultants LLC</w:t>
      </w:r>
    </w:p>
    <w:p>
      <w:pPr>
        <w:pStyle w:val="BodyText"/>
      </w:pPr>
      <w:r>
        <w:t xml:space="preserve">Name: Adv. Fatima Al Zahra</w:t>
      </w:r>
    </w:p>
    <w:p>
      <w:pPr>
        <w:pStyle w:val="BodyText"/>
      </w:pPr>
      <w:r>
        <w:t xml:space="preserve">Title: Senior Partner / Licensed Lawyer</w:t>
      </w:r>
    </w:p>
    <w:p>
      <w:pPr>
        <w:pStyle w:val="BodyText"/>
      </w:pPr>
      <w:r>
        <w:t xml:space="preserve">Signature: ___________________________</w:t>
      </w:r>
    </w:p>
    <w:p>
      <w:pPr>
        <w:pStyle w:val="BodyText"/>
      </w:pPr>
      <w:r>
        <w:t xml:space="preserve">Date: ___________________________</w:t>
      </w:r>
    </w:p>
    <w:p>
      <w:pPr>
        <w:pStyle w:val="BodyText"/>
      </w:pPr>
      <w:r>
        <w:t xml:space="preserve">Firm Stamp:</w:t>
      </w:r>
    </w:p>
    <w:p>
      <w:pPr>
        <w:pStyle w:val="BodyText"/>
      </w:pPr>
      <w:r>
        <w:t xml:space="preserve">This Purchase Order (UAE-DXB-2025-04872) is issued in the United Arab Emirates Dubai and is governed by the laws of the Emirate of Dubai and the Federal Laws of the United Arab Emirates.</w:t>
      </w:r>
    </w:p>
    <w:p>
      <w:pPr>
        <w:pStyle w:val="BodyText"/>
      </w:pPr>
      <w:r>
        <w:t xml:space="preserve">Document Reference: PO-2025-04872 | Version 1.0 | Generated: 14 June 2025 | Confidential – For Internal and Legal Use Only</w:t>
      </w:r>
    </w:p>
    <w:p>
      <w:pPr>
        <w:pStyle w:val="BodyText"/>
      </w:pPr>
      <w:r>
        <w:t xml:space="preserve">Al Noor Trading &amp; Logistics FZE | Burj Khalifa, Downtown Dubai, United Arab Emirates | +971 4 555 8821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United Arab Emirates Dubai</dc:title>
  <dc:creator/>
  <dc:language>en</dc:language>
  <cp:keywords/>
  <dcterms:created xsi:type="dcterms:W3CDTF">2026-10-10T09:09:23Z</dcterms:created>
  <dcterms:modified xsi:type="dcterms:W3CDTF">2026-10-10T09:09:23Z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