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Professional Legal Services Engagement</w:t>
      </w:r>
    </w:p>
    <w:p>
      <w:pPr>
        <w:pStyle w:val="BodyText"/>
      </w:pPr>
      <w:r>
        <w:t xml:space="preserve">PO No. MIA-2025-04871</w:t>
      </w:r>
    </w:p>
    <w:p>
      <w:pPr>
        <w:pStyle w:val="BodyText"/>
      </w:pPr>
      <w:r>
        <w:t xml:space="preserve">Date of Issue: June 12, 2025</w:t>
      </w:r>
    </w:p>
    <w:p>
      <w:pPr>
        <w:pStyle w:val="BodyText"/>
      </w:pPr>
      <w:r>
        <w:t xml:space="preserve">Valid Until: July 12, 2025</w:t>
      </w:r>
    </w:p>
    <w:bookmarkEnd w:id="20"/>
    <w:bookmarkStart w:id="23" w:name="buyer-information"/>
    <w:p>
      <w:pPr>
        <w:pStyle w:val="Heading2"/>
      </w:pPr>
      <w:r>
        <w:t xml:space="preserve">1. Buyer Information</w:t>
      </w:r>
    </w:p>
    <w:bookmarkStart w:id="21" w:name="purchasing-entity"/>
    <w:p>
      <w:pPr>
        <w:pStyle w:val="Heading3"/>
      </w:pPr>
      <w:r>
        <w:t xml:space="preserve">Purchasing Entity</w:t>
      </w:r>
    </w:p>
    <w:p>
      <w:pPr>
        <w:pStyle w:val="FirstParagraph"/>
      </w:pPr>
      <w:r>
        <w:rPr>
          <w:bCs/>
          <w:b/>
        </w:rPr>
        <w:t xml:space="preserve">Company:</w:t>
      </w:r>
      <w:r>
        <w:t xml:space="preserve"> </w:t>
      </w:r>
      <w:r>
        <w:t xml:space="preserve">Coral Gables Development Group, LLC</w:t>
      </w:r>
    </w:p>
    <w:p>
      <w:pPr>
        <w:pStyle w:val="BodyText"/>
      </w:pPr>
      <w:r>
        <w:rPr>
          <w:bCs/>
          <w:b/>
        </w:rPr>
        <w:t xml:space="preserve">Address:</w:t>
      </w:r>
      <w:r>
        <w:t xml:space="preserve"> </w:t>
      </w:r>
      <w:r>
        <w:t xml:space="preserve">1200 Brickell Avenue, Suite 2400, Miami, Florida 33131, United States</w:t>
      </w:r>
    </w:p>
    <w:p>
      <w:pPr>
        <w:pStyle w:val="BodyText"/>
      </w:pPr>
      <w:r>
        <w:rPr>
          <w:bCs/>
          <w:b/>
        </w:rPr>
        <w:t xml:space="preserve">Phone:</w:t>
      </w:r>
      <w:r>
        <w:t xml:space="preserve"> </w:t>
      </w:r>
      <w:r>
        <w:t xml:space="preserve">(305) 555-0142</w:t>
      </w:r>
    </w:p>
    <w:p>
      <w:pPr>
        <w:pStyle w:val="BodyText"/>
      </w:pPr>
      <w:r>
        <w:rPr>
          <w:bCs/>
          <w:b/>
        </w:rPr>
        <w:t xml:space="preserve">Email:</w:t>
      </w:r>
      <w:r>
        <w:t xml:space="preserve"> </w:t>
      </w:r>
      <w:r>
        <w:t xml:space="preserve">procurement@cgdevgroup.com</w:t>
      </w:r>
    </w:p>
    <w:p>
      <w:pPr>
        <w:pStyle w:val="BodyText"/>
      </w:pPr>
      <w:r>
        <w:rPr>
          <w:bCs/>
          <w:b/>
        </w:rPr>
        <w:t xml:space="preserve">Tax ID (EIN):</w:t>
      </w:r>
      <w:r>
        <w:t xml:space="preserve"> </w:t>
      </w:r>
      <w:r>
        <w:t xml:space="preserve">82-4471903</w:t>
      </w:r>
    </w:p>
    <w:bookmarkEnd w:id="21"/>
    <w:bookmarkStart w:id="22" w:name="authorized-representative"/>
    <w:p>
      <w:pPr>
        <w:pStyle w:val="Heading3"/>
      </w:pPr>
      <w:r>
        <w:t xml:space="preserve">Authorized Representative</w:t>
      </w:r>
    </w:p>
    <w:p>
      <w:pPr>
        <w:pStyle w:val="FirstParagraph"/>
      </w:pPr>
      <w:r>
        <w:rPr>
          <w:bCs/>
          <w:b/>
        </w:rPr>
        <w:t xml:space="preserve">Name:</w:t>
      </w:r>
      <w:r>
        <w:t xml:space="preserve"> </w:t>
      </w:r>
      <w:r>
        <w:t xml:space="preserve">Margaret E. Sullivan</w:t>
      </w:r>
    </w:p>
    <w:p>
      <w:pPr>
        <w:pStyle w:val="BodyText"/>
      </w:pPr>
      <w:r>
        <w:rPr>
          <w:bCs/>
          <w:b/>
        </w:rPr>
        <w:t xml:space="preserve">Title:</w:t>
      </w:r>
      <w:r>
        <w:t xml:space="preserve"> </w:t>
      </w:r>
      <w:r>
        <w:t xml:space="preserve">Chief Financial Officer</w:t>
      </w:r>
    </w:p>
    <w:p>
      <w:pPr>
        <w:pStyle w:val="BodyText"/>
      </w:pPr>
      <w:r>
        <w:rPr>
          <w:bCs/>
          <w:b/>
        </w:rPr>
        <w:t xml:space="preserve">Department:</w:t>
      </w:r>
      <w:r>
        <w:t xml:space="preserve"> </w:t>
      </w:r>
      <w:r>
        <w:t xml:space="preserve">Corporate Procurement &amp; Legal Affairs</w:t>
      </w:r>
    </w:p>
    <w:p>
      <w:pPr>
        <w:pStyle w:val="BodyText"/>
      </w:pPr>
      <w:r>
        <w:rPr>
          <w:bCs/>
          <w:b/>
        </w:rPr>
        <w:t xml:space="preserve">Approval Authority:</w:t>
      </w:r>
      <w:r>
        <w:t xml:space="preserve"> </w:t>
      </w:r>
      <w:r>
        <w:t xml:space="preserve">Up to $250,000.00 USD</w:t>
      </w:r>
    </w:p>
    <w:bookmarkEnd w:id="22"/>
    <w:bookmarkEnd w:id="23"/>
    <w:bookmarkStart w:id="26" w:name="seller-service-provider-information"/>
    <w:p>
      <w:pPr>
        <w:pStyle w:val="Heading2"/>
      </w:pPr>
      <w:r>
        <w:t xml:space="preserve">2. Seller / Service Provider Information</w:t>
      </w:r>
    </w:p>
    <w:bookmarkStart w:id="24" w:name="law-firm"/>
    <w:p>
      <w:pPr>
        <w:pStyle w:val="Heading3"/>
      </w:pPr>
      <w:r>
        <w:t xml:space="preserve">Law Firm</w:t>
      </w:r>
    </w:p>
    <w:p>
      <w:pPr>
        <w:pStyle w:val="FirstParagraph"/>
      </w:pPr>
      <w:r>
        <w:rPr>
          <w:bCs/>
          <w:b/>
        </w:rPr>
        <w:t xml:space="preserve">Firm Name:</w:t>
      </w:r>
      <w:r>
        <w:t xml:space="preserve"> </w:t>
      </w:r>
      <w:r>
        <w:t xml:space="preserve">Delgado, Whitmore &amp; Associates, P.A.</w:t>
      </w:r>
    </w:p>
    <w:p>
      <w:pPr>
        <w:pStyle w:val="BodyText"/>
      </w:pPr>
      <w:r>
        <w:rPr>
          <w:bCs/>
          <w:b/>
        </w:rPr>
        <w:t xml:space="preserve">Address:</w:t>
      </w:r>
      <w:r>
        <w:t xml:space="preserve"> </w:t>
      </w:r>
      <w:r>
        <w:t xml:space="preserve">300 South Biscayne Boulevard, Suite 1800, Miami, Florida 33131, United States</w:t>
      </w:r>
    </w:p>
    <w:p>
      <w:pPr>
        <w:pStyle w:val="BodyText"/>
      </w:pPr>
      <w:r>
        <w:rPr>
          <w:bCs/>
          <w:b/>
        </w:rPr>
        <w:t xml:space="preserve">Phone:</w:t>
      </w:r>
      <w:r>
        <w:t xml:space="preserve"> </w:t>
      </w:r>
      <w:r>
        <w:t xml:space="preserve">(305) 555-0287</w:t>
      </w:r>
    </w:p>
    <w:p>
      <w:pPr>
        <w:pStyle w:val="BodyText"/>
      </w:pPr>
      <w:r>
        <w:rPr>
          <w:bCs/>
          <w:b/>
        </w:rPr>
        <w:t xml:space="preserve">Email:</w:t>
      </w:r>
      <w:r>
        <w:t xml:space="preserve"> </w:t>
      </w:r>
      <w:r>
        <w:t xml:space="preserve">intake@delgadowhitmore.com</w:t>
      </w:r>
    </w:p>
    <w:p>
      <w:pPr>
        <w:pStyle w:val="BodyText"/>
      </w:pPr>
      <w:r>
        <w:rPr>
          <w:bCs/>
          <w:b/>
        </w:rPr>
        <w:t xml:space="preserve">Florida Bar Registration:</w:t>
      </w:r>
      <w:r>
        <w:t xml:space="preserve"> </w:t>
      </w:r>
      <w:r>
        <w:t xml:space="preserve">FBN-2019-0044821</w:t>
      </w:r>
    </w:p>
    <w:bookmarkEnd w:id="24"/>
    <w:bookmarkStart w:id="25" w:name="assigned-lawyer"/>
    <w:p>
      <w:pPr>
        <w:pStyle w:val="Heading3"/>
      </w:pPr>
      <w:r>
        <w:t xml:space="preserve">Assigned Lawyer</w:t>
      </w:r>
    </w:p>
    <w:p>
      <w:pPr>
        <w:pStyle w:val="FirstParagraph"/>
      </w:pPr>
      <w:r>
        <w:rPr>
          <w:bCs/>
          <w:b/>
        </w:rPr>
        <w:t xml:space="preserve">Lead Attorney:</w:t>
      </w:r>
      <w:r>
        <w:t xml:space="preserve"> </w:t>
      </w:r>
      <w:r>
        <w:t xml:space="preserve">Ricardo A. Delgado, Esq.</w:t>
      </w:r>
    </w:p>
    <w:p>
      <w:pPr>
        <w:pStyle w:val="BodyText"/>
      </w:pPr>
      <w:r>
        <w:rPr>
          <w:bCs/>
          <w:b/>
        </w:rPr>
        <w:t xml:space="preserve">Bar Admission:</w:t>
      </w:r>
      <w:r>
        <w:t xml:space="preserve"> </w:t>
      </w:r>
      <w:r>
        <w:t xml:space="preserve">State of Florida, United States (Bar No. 5321847)</w:t>
      </w:r>
    </w:p>
    <w:p>
      <w:pPr>
        <w:pStyle w:val="BodyText"/>
      </w:pPr>
      <w:r>
        <w:rPr>
          <w:bCs/>
          <w:b/>
        </w:rPr>
        <w:t xml:space="preserve">Specialization:</w:t>
      </w:r>
      <w:r>
        <w:t xml:space="preserve"> </w:t>
      </w:r>
      <w:r>
        <w:t xml:space="preserve">Corporate Law, Real Estate Transactions, Commercial Litigation</w:t>
      </w:r>
    </w:p>
    <w:p>
      <w:pPr>
        <w:pStyle w:val="BodyText"/>
      </w:pPr>
      <w:r>
        <w:rPr>
          <w:bCs/>
          <w:b/>
        </w:rPr>
        <w:t xml:space="preserve">Direct Contact:</w:t>
      </w:r>
      <w:r>
        <w:t xml:space="preserve"> </w:t>
      </w:r>
      <w:r>
        <w:t xml:space="preserve">(305) 555-0291</w:t>
      </w:r>
    </w:p>
    <w:bookmarkEnd w:id="25"/>
    <w:bookmarkEnd w:id="26"/>
    <w:bookmarkStart w:id="27" w:name="description-of-purchase-order-scope"/>
    <w:p>
      <w:pPr>
        <w:pStyle w:val="Heading2"/>
      </w:pPr>
      <w:r>
        <w:t xml:space="preserve">3. Description of Purchase Order Scope</w:t>
      </w:r>
    </w:p>
    <w:p>
      <w:pPr>
        <w:pStyle w:val="FirstParagraph"/>
      </w:pPr>
      <w:r>
        <w:t xml:space="preserve">This Purchase Order is issued by Coral Gables Development Group, LLC (hereinafter referred to as the "Buyer") to formally engage the services of a qualified</w:t>
      </w:r>
      <w:r>
        <w:t xml:space="preserve"> </w:t>
      </w:r>
      <w:r>
        <w:t xml:space="preserve">Lawyer</w:t>
      </w:r>
      <w:r>
        <w:t xml:space="preserve"> </w:t>
      </w:r>
      <w:r>
        <w:t xml:space="preserve">and legal team at Delgado, Whitmore &amp; Associates, P.A. (hereinafter referred to as the "Provider") for comprehensive legal counsel and representation. This Purchase Order governs the procurement of professional legal services to be rendered in</w:t>
      </w:r>
      <w:r>
        <w:t xml:space="preserve"> </w:t>
      </w:r>
      <w:r>
        <w:t xml:space="preserve">Miami, United States</w:t>
      </w:r>
      <w:r>
        <w:t xml:space="preserve">, specifically within the jurisdiction of Miami-Dade County, Florida. The engagement covers corporate governance advisory, real estate transaction structuring, commercial contract negotiation, and potential litigation support related to the Buyer's development portfolio in the Miami metropolitan area.</w:t>
      </w:r>
    </w:p>
    <w:bookmarkEnd w:id="27"/>
    <w:bookmarkStart w:id="28" w:name="line-items-services-and-pricing"/>
    <w:p>
      <w:pPr>
        <w:pStyle w:val="Heading2"/>
      </w:pPr>
      <w:r>
        <w:t xml:space="preserve">4. Line Items –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Legal Services</w:t>
            </w:r>
          </w:p>
        </w:tc>
        <w:tc>
          <w:tcPr/>
          <w:p>
            <w:pPr>
              <w:pStyle w:val="Compact"/>
              <w:jc w:val="left"/>
            </w:pPr>
            <w:r>
              <w:t xml:space="preserve">Rate Type</w:t>
            </w:r>
          </w:p>
        </w:tc>
        <w:tc>
          <w:tcPr/>
          <w:p>
            <w:pPr>
              <w:pStyle w:val="Compact"/>
              <w:jc w:val="left"/>
            </w:pPr>
            <w:r>
              <w:t xml:space="preserve">Estimated Hours</w:t>
            </w:r>
          </w:p>
        </w:tc>
        <w:tc>
          <w:tcPr/>
          <w:p>
            <w:pPr>
              <w:pStyle w:val="Compact"/>
              <w:jc w:val="left"/>
            </w:pPr>
            <w:r>
              <w:t xml:space="preserve">Hourly Rate (USD)</w:t>
            </w:r>
          </w:p>
        </w:tc>
        <w:tc>
          <w:tcPr/>
          <w:p>
            <w:pPr>
              <w:pStyle w:val="Compact"/>
              <w:jc w:val="left"/>
            </w:pPr>
            <w:r>
              <w:t xml:space="preserve">Estimated Amount (USD)</w:t>
            </w:r>
          </w:p>
        </w:tc>
      </w:tr>
      <w:tr>
        <w:tc>
          <w:tcPr/>
          <w:p>
            <w:pPr>
              <w:pStyle w:val="Compact"/>
              <w:jc w:val="left"/>
            </w:pPr>
            <w:r>
              <w:t xml:space="preserve">01</w:t>
            </w:r>
          </w:p>
        </w:tc>
        <w:tc>
          <w:tcPr/>
          <w:p>
            <w:pPr>
              <w:pStyle w:val="Compact"/>
              <w:jc w:val="left"/>
            </w:pPr>
            <w:r>
              <w:t xml:space="preserve">Corporate governance advisory and board meeting legal counsel for the fiscal year 2025. The assigned Lawyer shall attend all quarterly board meetings held in Miami, United States, and provide written legal opinions on corporate resolutions.</w:t>
            </w:r>
          </w:p>
        </w:tc>
        <w:tc>
          <w:tcPr/>
          <w:p>
            <w:pPr>
              <w:pStyle w:val="Compact"/>
              <w:jc w:val="left"/>
            </w:pPr>
            <w:r>
              <w:t xml:space="preserve">Hourly</w:t>
            </w:r>
          </w:p>
        </w:tc>
        <w:tc>
          <w:tcPr/>
          <w:p>
            <w:pPr>
              <w:pStyle w:val="Compact"/>
              <w:jc w:val="left"/>
            </w:pPr>
            <w:r>
              <w:t xml:space="preserve">40</w:t>
            </w:r>
          </w:p>
        </w:tc>
        <w:tc>
          <w:tcPr/>
          <w:p>
            <w:pPr>
              <w:pStyle w:val="Compact"/>
              <w:jc w:val="left"/>
            </w:pPr>
            <w:r>
              <w:t xml:space="preserve">$425.00</w:t>
            </w:r>
          </w:p>
        </w:tc>
        <w:tc>
          <w:tcPr/>
          <w:p>
            <w:pPr>
              <w:pStyle w:val="Compact"/>
              <w:jc w:val="left"/>
            </w:pPr>
            <w:r>
              <w:t xml:space="preserve">$17,000.00</w:t>
            </w:r>
          </w:p>
        </w:tc>
      </w:tr>
      <w:tr>
        <w:tc>
          <w:tcPr/>
          <w:p>
            <w:pPr>
              <w:pStyle w:val="Compact"/>
              <w:jc w:val="left"/>
            </w:pPr>
            <w:r>
              <w:t xml:space="preserve">02</w:t>
            </w:r>
          </w:p>
        </w:tc>
        <w:tc>
          <w:tcPr/>
          <w:p>
            <w:pPr>
              <w:pStyle w:val="Compact"/>
              <w:jc w:val="left"/>
            </w:pPr>
            <w:r>
              <w:t xml:space="preserve">Real estate transaction structuring and due diligence for the acquisition of a 12-acre commercial parcel in the Miami Design District. Includes title review, zoning compliance analysis, and closing coordination with local Miami-Dade County authorities.</w:t>
            </w:r>
          </w:p>
        </w:tc>
        <w:tc>
          <w:tcPr/>
          <w:p>
            <w:pPr>
              <w:pStyle w:val="Compact"/>
              <w:jc w:val="left"/>
            </w:pPr>
            <w:r>
              <w:t xml:space="preserve">Hourly</w:t>
            </w:r>
          </w:p>
        </w:tc>
        <w:tc>
          <w:tcPr/>
          <w:p>
            <w:pPr>
              <w:pStyle w:val="Compact"/>
              <w:jc w:val="left"/>
            </w:pPr>
            <w:r>
              <w:t xml:space="preserve">120</w:t>
            </w:r>
          </w:p>
        </w:tc>
        <w:tc>
          <w:tcPr/>
          <w:p>
            <w:pPr>
              <w:pStyle w:val="Compact"/>
              <w:jc w:val="left"/>
            </w:pPr>
            <w:r>
              <w:t xml:space="preserve">$425.00</w:t>
            </w:r>
          </w:p>
        </w:tc>
        <w:tc>
          <w:tcPr/>
          <w:p>
            <w:pPr>
              <w:pStyle w:val="Compact"/>
              <w:jc w:val="left"/>
            </w:pPr>
            <w:r>
              <w:t xml:space="preserve">$51,000.00</w:t>
            </w:r>
          </w:p>
        </w:tc>
      </w:tr>
      <w:tr>
        <w:tc>
          <w:tcPr/>
          <w:p>
            <w:pPr>
              <w:pStyle w:val="Compact"/>
              <w:jc w:val="left"/>
            </w:pPr>
            <w:r>
              <w:t xml:space="preserve">03</w:t>
            </w:r>
          </w:p>
        </w:tc>
        <w:tc>
          <w:tcPr/>
          <w:p>
            <w:pPr>
              <w:pStyle w:val="Compact"/>
              <w:jc w:val="left"/>
            </w:pPr>
            <w:r>
              <w:t xml:space="preserve">Negotiation and drafting of commercial lease agreements for three retail tenants in the Buyer's Brickell Avenue property. The Lawyer shall represent the Buyer's interests in all lease negotiations and amendments.</w:t>
            </w:r>
          </w:p>
        </w:tc>
        <w:tc>
          <w:tcPr/>
          <w:p>
            <w:pPr>
              <w:pStyle w:val="Compact"/>
              <w:jc w:val="left"/>
            </w:pPr>
            <w:r>
              <w:t xml:space="preserve">Hourly</w:t>
            </w:r>
          </w:p>
        </w:tc>
        <w:tc>
          <w:tcPr/>
          <w:p>
            <w:pPr>
              <w:pStyle w:val="Compact"/>
              <w:jc w:val="left"/>
            </w:pPr>
            <w:r>
              <w:t xml:space="preserve">60</w:t>
            </w:r>
          </w:p>
        </w:tc>
        <w:tc>
          <w:tcPr/>
          <w:p>
            <w:pPr>
              <w:pStyle w:val="Compact"/>
              <w:jc w:val="left"/>
            </w:pPr>
            <w:r>
              <w:t xml:space="preserve">$425.00</w:t>
            </w:r>
          </w:p>
        </w:tc>
        <w:tc>
          <w:tcPr/>
          <w:p>
            <w:pPr>
              <w:pStyle w:val="Compact"/>
              <w:jc w:val="left"/>
            </w:pPr>
            <w:r>
              <w:t xml:space="preserve">$25,500.00</w:t>
            </w:r>
          </w:p>
        </w:tc>
      </w:tr>
      <w:tr>
        <w:tc>
          <w:tcPr/>
          <w:p>
            <w:pPr>
              <w:pStyle w:val="Compact"/>
              <w:jc w:val="left"/>
            </w:pPr>
            <w:r>
              <w:t xml:space="preserve">04</w:t>
            </w:r>
          </w:p>
        </w:tc>
        <w:tc>
          <w:tcPr/>
          <w:p>
            <w:pPr>
              <w:pStyle w:val="Compact"/>
              <w:jc w:val="left"/>
            </w:pPr>
            <w:r>
              <w:t xml:space="preserve">Commercial litigation support and contingency representation in the matter of</w:t>
            </w:r>
            <w:r>
              <w:t xml:space="preserve"> </w:t>
            </w:r>
            <w:r>
              <w:rPr>
                <w:iCs/>
                <w:i/>
              </w:rPr>
              <w:t xml:space="preserve">Coral Gables Development Group v. Harbor Point Construction, Inc.</w:t>
            </w:r>
            <w:r>
              <w:t xml:space="preserve">, Case No. 2025-CA-008842, Miami-Dade County Circuit Court, United States.</w:t>
            </w:r>
          </w:p>
        </w:tc>
        <w:tc>
          <w:tcPr/>
          <w:p>
            <w:pPr>
              <w:pStyle w:val="Compact"/>
              <w:jc w:val="left"/>
            </w:pPr>
            <w:r>
              <w:t xml:space="preserve">Hourly + Contingency</w:t>
            </w:r>
          </w:p>
        </w:tc>
        <w:tc>
          <w:tcPr/>
          <w:p>
            <w:pPr>
              <w:pStyle w:val="Compact"/>
              <w:jc w:val="left"/>
            </w:pPr>
            <w:r>
              <w:t xml:space="preserve">200</w:t>
            </w:r>
          </w:p>
        </w:tc>
        <w:tc>
          <w:tcPr/>
          <w:p>
            <w:pPr>
              <w:pStyle w:val="Compact"/>
              <w:jc w:val="left"/>
            </w:pPr>
            <w:r>
              <w:t xml:space="preserve">$475.00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Regulatory compliance review and filing of all necessary permits with the City of Miami Department of Buildings and the Florida Department of Business and Professional Regulation for the ongoing South Beach mixed-use development project.</w:t>
            </w:r>
          </w:p>
        </w:tc>
        <w:tc>
          <w:tcPr/>
          <w:p>
            <w:pPr>
              <w:pStyle w:val="Compact"/>
              <w:jc w:val="left"/>
            </w:pPr>
            <w:r>
              <w:t xml:space="preserve">Flat Fee</w:t>
            </w:r>
          </w:p>
        </w:tc>
        <w:tc>
          <w:tcPr/>
          <w:p>
            <w:pPr>
              <w:pStyle w:val="Compact"/>
              <w:jc w:val="left"/>
            </w:pPr>
            <w:r>
              <w:t xml:space="preserve">N/A</w:t>
            </w:r>
          </w:p>
        </w:tc>
        <w:tc>
          <w:tcPr/>
          <w:p>
            <w:pPr>
              <w:pStyle w:val="Compact"/>
              <w:jc w:val="left"/>
            </w:pPr>
            <w:r>
              <w:t xml:space="preserve">N/A</w:t>
            </w:r>
          </w:p>
        </w:tc>
        <w:tc>
          <w:tcPr/>
          <w:p>
            <w:pPr>
              <w:pStyle w:val="Compact"/>
              <w:jc w:val="left"/>
            </w:pPr>
            <w:r>
              <w:t xml:space="preserve">$12,500.00</w:t>
            </w:r>
          </w:p>
        </w:tc>
      </w:tr>
      <w:tr>
        <w:tc>
          <w:tcPr/>
          <w:p>
            <w:pPr>
              <w:pStyle w:val="Compact"/>
              <w:jc w:val="left"/>
            </w:pPr>
            <w:r>
              <w:t xml:space="preserve">06</w:t>
            </w:r>
          </w:p>
        </w:tc>
        <w:tc>
          <w:tcPr/>
          <w:p>
            <w:pPr>
              <w:pStyle w:val="Compact"/>
              <w:jc w:val="left"/>
            </w:pPr>
            <w:r>
              <w:t xml:space="preserve">General legal counsel and on-call availability for the Buyer's executive team. The Lawyer shall be available for consultation via telephone, video conference, or in-person meetings at the firm's Miami, United States office during standard business hours.</w:t>
            </w:r>
          </w:p>
        </w:tc>
        <w:tc>
          <w:tcPr/>
          <w:p>
            <w:pPr>
              <w:pStyle w:val="Compact"/>
              <w:jc w:val="left"/>
            </w:pPr>
            <w:r>
              <w:t xml:space="preserve">Monthly Retainer</w:t>
            </w:r>
          </w:p>
        </w:tc>
        <w:tc>
          <w:tcPr/>
          <w:p>
            <w:pPr>
              <w:pStyle w:val="Compact"/>
              <w:jc w:val="left"/>
            </w:pPr>
            <w:r>
              <w:t xml:space="preserve">12 months</w:t>
            </w:r>
          </w:p>
        </w:tc>
        <w:tc>
          <w:tcPr/>
          <w:p>
            <w:pPr>
              <w:pStyle w:val="Compact"/>
              <w:jc w:val="left"/>
            </w:pPr>
            <w:r>
              <w:t xml:space="preserve">$3,500.00/mo</w:t>
            </w:r>
          </w:p>
        </w:tc>
        <w:tc>
          <w:tcPr/>
          <w:p>
            <w:pPr>
              <w:pStyle w:val="Compact"/>
              <w:jc w:val="left"/>
            </w:pPr>
            <w:r>
              <w:t xml:space="preserve">$42,000.00</w:t>
            </w:r>
          </w:p>
        </w:tc>
      </w:tr>
      <w:tr>
        <w:tc>
          <w:tcPr>
            <w:gridSpan w:val="5"/>
          </w:tcPr>
          <w:p>
            <w:pPr>
              <w:pStyle w:val="Compact"/>
              <w:jc w:val="right"/>
            </w:pPr>
            <w:r>
              <w:t xml:space="preserve">TOTAL ESTIMATED PURCHASE ORDER VALUE:</w:t>
            </w:r>
          </w:p>
        </w:tc>
        <w:tc>
          <w:tcPr/>
          <w:p>
            <w:pPr>
              <w:pStyle w:val="Compact"/>
              <w:jc w:val="left"/>
            </w:pPr>
            <w:r>
              <w:t xml:space="preserve">$243,000.00 USD</w:t>
            </w:r>
          </w:p>
        </w:tc>
      </w:tr>
    </w:tbl>
    <w:bookmarkEnd w:id="28"/>
    <w:bookmarkStart w:id="29"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and all services rendered hereunder shall be governed by and construed in accordance with the laws of the State of Florida, United States. Any disputes arising from this Purchase Order shall be subject to the exclusive jurisdiction of the state and federal courts located in Miami-Dade County, Miami, Florida, United States.</w:t>
      </w:r>
    </w:p>
    <w:p>
      <w:pPr>
        <w:numPr>
          <w:ilvl w:val="0"/>
          <w:numId w:val="1001"/>
        </w:numPr>
        <w:pStyle w:val="Compact"/>
      </w:pPr>
      <w:r>
        <w:rPr>
          <w:bCs/>
          <w:b/>
        </w:rPr>
        <w:t xml:space="preserve">Payment Terms:</w:t>
      </w:r>
      <w:r>
        <w:t xml:space="preserve"> </w:t>
      </w:r>
      <w:r>
        <w:t xml:space="preserve">The Buyer shall remit payment within thirty (30) days of receipt of an itemized invoice from the Provider. Hourly billing shall be submitted on a monthly basis. The monthly retainer fee shall be due on the first business day of each calendar month. All payments shall be made in United States Dollars (USD) via wire transfer to the Provider's designated bank account in Miami, Florida.</w:t>
      </w:r>
    </w:p>
    <w:p>
      <w:pPr>
        <w:numPr>
          <w:ilvl w:val="0"/>
          <w:numId w:val="1001"/>
        </w:numPr>
        <w:pStyle w:val="Compact"/>
      </w:pPr>
      <w:r>
        <w:rPr>
          <w:bCs/>
          <w:b/>
        </w:rPr>
        <w:t xml:space="preserve">Scope Limitation:</w:t>
      </w:r>
      <w:r>
        <w:t xml:space="preserve"> </w:t>
      </w:r>
      <w:r>
        <w:t xml:space="preserve">The Lawyer engaged under this Purchase Order shall limit all legal advice and representation to matters arising within the State of Florida, United States, unless a separate written amendment to this Purchase Order is executed by both parties authorizing out-of-jurisdiction work.</w:t>
      </w:r>
    </w:p>
    <w:p>
      <w:pPr>
        <w:numPr>
          <w:ilvl w:val="0"/>
          <w:numId w:val="1001"/>
        </w:numPr>
        <w:pStyle w:val="Compact"/>
      </w:pPr>
      <w:r>
        <w:rPr>
          <w:bCs/>
          <w:b/>
        </w:rPr>
        <w:t xml:space="preserve">Confidentiality:</w:t>
      </w:r>
      <w:r>
        <w:t xml:space="preserve"> </w:t>
      </w:r>
      <w:r>
        <w:t xml:space="preserve">The Provider and the assigned Lawyer shall maintain strict confidentiality regarding all proprietary business information, trade secrets, and financial data of the Buyer. This obligation shall survive the termination of this Purchase Order for a period of five (5) years.</w:t>
      </w:r>
    </w:p>
    <w:p>
      <w:pPr>
        <w:numPr>
          <w:ilvl w:val="0"/>
          <w:numId w:val="1001"/>
        </w:numPr>
        <w:pStyle w:val="Compact"/>
      </w:pPr>
      <w:r>
        <w:rPr>
          <w:bCs/>
          <w:b/>
        </w:rPr>
        <w:t xml:space="preserve">Conflict of Interest:</w:t>
      </w:r>
      <w:r>
        <w:t xml:space="preserve"> </w:t>
      </w:r>
      <w:r>
        <w:t xml:space="preserve">The Provider warrants that neither the firm nor the assigned Lawyer has any existing or potential conflict of interest with the Buyer or its subsidiaries. The Lawyer shall immediately disclose any newly arising conflict in writing.</w:t>
      </w:r>
    </w:p>
    <w:p>
      <w:pPr>
        <w:numPr>
          <w:ilvl w:val="0"/>
          <w:numId w:val="1001"/>
        </w:numPr>
        <w:pStyle w:val="Compact"/>
      </w:pPr>
      <w:r>
        <w:rPr>
          <w:bCs/>
          <w:b/>
        </w:rPr>
        <w:t xml:space="preserve">Termination:</w:t>
      </w:r>
      <w:r>
        <w:t xml:space="preserve"> </w:t>
      </w:r>
      <w:r>
        <w:t xml:space="preserve">Either party may terminate this Purchase Order with thirty (30) days written notice. Upon termination, the Buyer shall be liable for all services rendered and expenses incurred up to the effective date of termination. The Provider shall return all Buyer documents and files within ten (10) business days.</w:t>
      </w:r>
    </w:p>
    <w:p>
      <w:pPr>
        <w:numPr>
          <w:ilvl w:val="0"/>
          <w:numId w:val="1001"/>
        </w:numPr>
        <w:pStyle w:val="Compact"/>
      </w:pPr>
      <w:r>
        <w:rPr>
          <w:bCs/>
          <w:b/>
        </w:rPr>
        <w:t xml:space="preserve">Professional Standards:</w:t>
      </w:r>
      <w:r>
        <w:t xml:space="preserve"> </w:t>
      </w:r>
      <w:r>
        <w:t xml:space="preserve">The Lawyer shall perform all services in accordance with the Rules of Professional Conduct of The Florida Bar and applicable United States federal law. The Provider shall maintain adequate professional liability insurance with a minimum coverage of $2,000,000 per occurrence.</w:t>
      </w:r>
    </w:p>
    <w:p>
      <w:pPr>
        <w:numPr>
          <w:ilvl w:val="0"/>
          <w:numId w:val="1001"/>
        </w:numPr>
        <w:pStyle w:val="Compact"/>
      </w:pPr>
      <w:r>
        <w:rPr>
          <w:bCs/>
          <w:b/>
        </w:rPr>
        <w:t xml:space="preserve">Expenses:</w:t>
      </w:r>
      <w:r>
        <w:t xml:space="preserve"> </w:t>
      </w:r>
      <w:r>
        <w:t xml:space="preserve">Out-of-pocket expenses including court filing fees, expedited document retrieval, travel within the Miami metropolitan area, and third-party expert witness fees shall be billed at cost with supporting documentation, subject to prior written approval by the Buyer for any single expense exceeding $1,000.00.</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the Miami, United States area, acts of government, or pandemics, provided that the affected party gives prompt written notice.</w:t>
      </w:r>
    </w:p>
    <w:p>
      <w:pPr>
        <w:numPr>
          <w:ilvl w:val="0"/>
          <w:numId w:val="1001"/>
        </w:numPr>
        <w:pStyle w:val="Compact"/>
      </w:pPr>
      <w:r>
        <w:rPr>
          <w:bCs/>
          <w:b/>
        </w:rPr>
        <w:t xml:space="preserve">Entire Agreement:</w:t>
      </w:r>
      <w:r>
        <w:t xml:space="preserve"> </w:t>
      </w:r>
      <w:r>
        <w:t xml:space="preserve">This Purchase Order, together with any executed engagement letter between the parties, constitutes the entire agreement regarding the procurement of legal services and supersedes all prior negotiations, representations, or agreements.</w:t>
      </w:r>
    </w:p>
    <w:bookmarkEnd w:id="29"/>
    <w:bookmarkStart w:id="30" w:name="delivery-and-performance-location"/>
    <w:p>
      <w:pPr>
        <w:pStyle w:val="Heading2"/>
      </w:pPr>
      <w:r>
        <w:t xml:space="preserve">6. Delivery and Performance Location</w:t>
      </w:r>
    </w:p>
    <w:p>
      <w:pPr>
        <w:pStyle w:val="FirstParagraph"/>
      </w:pPr>
      <w:r>
        <w:t xml:space="preserve">All services under this Purchase Order shall be performed primarily at the Provider's office located at 300 South Biscayne Boulevard, Suite 1800, Miami, Florida 33131, United States, or at the Buyer's premises in Miami, Florida, as mutually agreed upon. Court appearances and government filings shall take place at the appropriate venues within Miami-Dade County, Florida, United States, or as otherwise required by the applicable court or regulatory body.</w:t>
      </w:r>
    </w:p>
    <w:bookmarkEnd w:id="30"/>
    <w:bookmarkStart w:id="31" w:name="authorization-and-signatures"/>
    <w:p>
      <w:pPr>
        <w:pStyle w:val="Heading2"/>
      </w:pPr>
      <w:r>
        <w:t xml:space="preserve">7. Authorization and Signatures</w:t>
      </w:r>
    </w:p>
    <w:p>
      <w:pPr>
        <w:pStyle w:val="FirstParagraph"/>
      </w:pPr>
      <w:r>
        <w:t xml:space="preserve">By signing below, the authorized representatives of both parties acknowledge and agree to all terms, conditions, and service descriptions set forth in this Purchase Order. This Purchase Order becomes effective upon execution by both parties.</w:t>
      </w:r>
    </w:p>
    <w:p>
      <w:pPr>
        <w:pStyle w:val="BodyText"/>
      </w:pPr>
      <w:r>
        <w:rPr>
          <w:bCs/>
          <w:b/>
        </w:rPr>
        <w:t xml:space="preserve">For the Buyer:</w:t>
      </w:r>
    </w:p>
    <w:p>
      <w:pPr>
        <w:pStyle w:val="BodyText"/>
      </w:pPr>
      <w:r>
        <w:t xml:space="preserve">Margaret E. Sullivan, CFO</w:t>
      </w:r>
    </w:p>
    <w:p>
      <w:pPr>
        <w:pStyle w:val="BodyText"/>
      </w:pPr>
      <w:r>
        <w:t xml:space="preserve">Coral Gables Development Group, LLC</w:t>
      </w:r>
    </w:p>
    <w:p>
      <w:pPr>
        <w:pStyle w:val="BodyText"/>
      </w:pPr>
      <w:r>
        <w:t xml:space="preserve">Date: ______________________</w:t>
      </w:r>
    </w:p>
    <w:p>
      <w:pPr>
        <w:pStyle w:val="BodyText"/>
      </w:pPr>
      <w:r>
        <w:rPr>
          <w:bCs/>
          <w:b/>
        </w:rPr>
        <w:t xml:space="preserve">For the Provider (Lawyer):</w:t>
      </w:r>
    </w:p>
    <w:p>
      <w:pPr>
        <w:pStyle w:val="BodyText"/>
      </w:pPr>
      <w:r>
        <w:t xml:space="preserve">Ricardo A. Delgado, Esq.</w:t>
      </w:r>
    </w:p>
    <w:p>
      <w:pPr>
        <w:pStyle w:val="BodyText"/>
      </w:pPr>
      <w:r>
        <w:t xml:space="preserve">Delgado, Whitmore &amp; Associates, P.A.</w:t>
      </w:r>
    </w:p>
    <w:p>
      <w:pPr>
        <w:pStyle w:val="BodyText"/>
      </w:pPr>
      <w:r>
        <w:t xml:space="preserve">Date: ______________________</w:t>
      </w:r>
    </w:p>
    <w:bookmarkEnd w:id="31"/>
    <w:p>
      <w:pPr>
        <w:pStyle w:val="BodyText"/>
      </w:pPr>
      <w:r>
        <w:t xml:space="preserve">This Purchase Order was prepared and issued in Miami, Florida, United States. Document Reference: PO MIA-2025-04871 | Page 1 of 1</w:t>
      </w:r>
    </w:p>
    <w:p>
      <w:pPr>
        <w:pStyle w:val="BodyText"/>
      </w:pPr>
      <w:r>
        <w:t xml:space="preserve">© 2025 Coral Gables Development Group, LLC. All rights reserved.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Miami, United States</dc:title>
  <dc:creator/>
  <dc:language>en</dc:language>
  <cp:keywords/>
  <dcterms:created xsi:type="dcterms:W3CDTF">2026-10-10T09:34:34Z</dcterms:created>
  <dcterms:modified xsi:type="dcterms:W3CDTF">2026-10-10T09:34:34Z</dcterms:modified>
</cp:coreProperties>
</file>

<file path=docProps/custom.xml><?xml version="1.0" encoding="utf-8"?>
<Properties xmlns="http://schemas.openxmlformats.org/officeDocument/2006/custom-properties" xmlns:vt="http://schemas.openxmlformats.org/officeDocument/2006/docPropsVTypes"/>
</file>