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Legal Services Procurement Document</w:t>
      </w:r>
    </w:p>
    <w:p>
      <w:pPr>
        <w:pStyle w:val="BodyText"/>
      </w:pPr>
      <w:r>
        <w:t xml:space="preserve">PO No.: SF-2025-04871</w:t>
      </w:r>
    </w:p>
    <w:p>
      <w:pPr>
        <w:pStyle w:val="BodyText"/>
      </w:pPr>
      <w:r>
        <w:t xml:space="preserve">Issued in San Francisco, California, United States</w:t>
      </w:r>
    </w:p>
    <w:bookmarkEnd w:id="20"/>
    <w:bookmarkStart w:id="21" w:name="purchase-order-details"/>
    <w:p>
      <w:pPr>
        <w:pStyle w:val="Heading2"/>
      </w:pPr>
      <w:r>
        <w:t xml:space="preserve">1. Purchase Order Details</w:t>
      </w:r>
    </w:p>
    <w:p>
      <w:pPr>
        <w:pStyle w:val="FirstParagraph"/>
      </w:pPr>
      <w:r>
        <w:t xml:space="preserve">Date of Issue:</w:t>
      </w:r>
      <w:r>
        <w:t xml:space="preserve"> </w:t>
      </w:r>
      <w:r>
        <w:t xml:space="preserve">June 12, 2025</w:t>
      </w:r>
    </w:p>
    <w:p>
      <w:pPr>
        <w:pStyle w:val="BodyText"/>
      </w:pPr>
      <w:r>
        <w:t xml:space="preserve">Effective Date:</w:t>
      </w:r>
      <w:r>
        <w:t xml:space="preserve"> </w:t>
      </w:r>
      <w:r>
        <w:t xml:space="preserve">June 16, 2025</w:t>
      </w:r>
    </w:p>
    <w:p>
      <w:pPr>
        <w:pStyle w:val="BodyText"/>
      </w:pPr>
      <w:r>
        <w:t xml:space="preserve">Expiration Date:</w:t>
      </w:r>
      <w:r>
        <w:t xml:space="preserve"> </w:t>
      </w:r>
      <w:r>
        <w:t xml:space="preserve">July 15, 2025</w:t>
      </w:r>
    </w:p>
    <w:p>
      <w:pPr>
        <w:pStyle w:val="BodyText"/>
      </w:pPr>
      <w:r>
        <w:t xml:space="preserve">Currency:</w:t>
      </w:r>
      <w:r>
        <w:t xml:space="preserve"> </w:t>
      </w:r>
      <w:r>
        <w:t xml:space="preserve">United States Dollars (USD)</w:t>
      </w:r>
    </w:p>
    <w:p>
      <w:pPr>
        <w:pStyle w:val="BodyText"/>
      </w:pPr>
      <w:r>
        <w:t xml:space="preserve">Governing Jurisdiction:</w:t>
      </w:r>
      <w:r>
        <w:t xml:space="preserve"> </w:t>
      </w:r>
      <w:r>
        <w:t xml:space="preserve">State of California, United States</w:t>
      </w:r>
    </w:p>
    <w:p>
      <w:pPr>
        <w:pStyle w:val="BodyText"/>
      </w:pPr>
      <w:r>
        <w:t xml:space="preserve">City of Performance:</w:t>
      </w:r>
      <w:r>
        <w:t xml:space="preserve"> </w:t>
      </w:r>
      <w:r>
        <w:t xml:space="preserve">San Francisco, CA 94103</w:t>
      </w:r>
    </w:p>
    <w:p>
      <w:pPr>
        <w:pStyle w:val="BodyText"/>
      </w:pPr>
      <w:r>
        <w:t xml:space="preserve">Applicable Law:</w:t>
      </w:r>
      <w:r>
        <w:t xml:space="preserve"> </w:t>
      </w:r>
      <w:r>
        <w:t xml:space="preserve">California Business &amp; Professions Code</w:t>
      </w:r>
    </w:p>
    <w:p>
      <w:pPr>
        <w:pStyle w:val="BodyText"/>
      </w:pPr>
      <w:r>
        <w:t xml:space="preserve">Bar Reference:</w:t>
      </w:r>
      <w:r>
        <w:t xml:space="preserve"> </w:t>
      </w:r>
      <w:r>
        <w:t xml:space="preserve">State Bar of California</w:t>
      </w:r>
    </w:p>
    <w:bookmarkEnd w:id="21"/>
    <w:bookmarkStart w:id="22" w:name="buyer-information"/>
    <w:p>
      <w:pPr>
        <w:pStyle w:val="Heading2"/>
      </w:pPr>
      <w:r>
        <w:t xml:space="preserve">2. Buyer Information</w:t>
      </w:r>
    </w:p>
    <w:p>
      <w:pPr>
        <w:pStyle w:val="FirstParagraph"/>
      </w:pPr>
      <w:r>
        <w:t xml:space="preserve">Company Name:</w:t>
      </w:r>
      <w:r>
        <w:t xml:space="preserve"> </w:t>
      </w:r>
      <w:r>
        <w:t xml:space="preserve">Pacific Meridian Technologies, Inc.</w:t>
      </w:r>
    </w:p>
    <w:p>
      <w:pPr>
        <w:pStyle w:val="BodyText"/>
      </w:pPr>
      <w:r>
        <w:t xml:space="preserve">Address:</w:t>
      </w:r>
      <w:r>
        <w:t xml:space="preserve"> </w:t>
      </w:r>
      <w:r>
        <w:t xml:space="preserve">101 Market Street, Suite 2400, San Francisco, California 94105, United States</w:t>
      </w:r>
    </w:p>
    <w:p>
      <w:pPr>
        <w:pStyle w:val="BodyText"/>
      </w:pPr>
      <w:r>
        <w:t xml:space="preserve">Federal Tax ID (EIN):</w:t>
      </w:r>
      <w:r>
        <w:t xml:space="preserve"> </w:t>
      </w:r>
      <w:r>
        <w:t xml:space="preserve">94-2847561</w:t>
      </w:r>
    </w:p>
    <w:p>
      <w:pPr>
        <w:pStyle w:val="BodyText"/>
      </w:pPr>
      <w:r>
        <w:t xml:space="preserve">Authorized Representative:</w:t>
      </w:r>
      <w:r>
        <w:t xml:space="preserve"> </w:t>
      </w:r>
      <w:r>
        <w:t xml:space="preserve">Margaret Chen, Chief Financial Officer</w:t>
      </w:r>
    </w:p>
    <w:p>
      <w:pPr>
        <w:pStyle w:val="BodyText"/>
      </w:pPr>
      <w:r>
        <w:t xml:space="preserve">Contact Email:</w:t>
      </w:r>
      <w:r>
        <w:t xml:space="preserve"> </w:t>
      </w:r>
      <w:r>
        <w:t xml:space="preserve">m.chen@pacificmeridian.com</w:t>
      </w:r>
    </w:p>
    <w:p>
      <w:pPr>
        <w:pStyle w:val="BodyText"/>
      </w:pPr>
      <w:r>
        <w:t xml:space="preserve">Phone:</w:t>
      </w:r>
      <w:r>
        <w:t xml:space="preserve"> </w:t>
      </w:r>
      <w:r>
        <w:t xml:space="preserve">(415) 555-0142</w:t>
      </w:r>
    </w:p>
    <w:bookmarkEnd w:id="22"/>
    <w:bookmarkStart w:id="23" w:name="provider-lawyer-information"/>
    <w:p>
      <w:pPr>
        <w:pStyle w:val="Heading2"/>
      </w:pPr>
      <w:r>
        <w:t xml:space="preserve">3. Provider (Lawyer) Information</w:t>
      </w:r>
    </w:p>
    <w:p>
      <w:pPr>
        <w:pStyle w:val="FirstParagraph"/>
      </w:pPr>
      <w:r>
        <w:t xml:space="preserve">Lawyer Name:</w:t>
      </w:r>
      <w:r>
        <w:t xml:space="preserve"> </w:t>
      </w:r>
      <w:r>
        <w:t xml:space="preserve">Jonathan R. Whitfield, Esq.</w:t>
      </w:r>
    </w:p>
    <w:p>
      <w:pPr>
        <w:pStyle w:val="BodyText"/>
      </w:pPr>
      <w:r>
        <w:t xml:space="preserve">Law Firm:</w:t>
      </w:r>
      <w:r>
        <w:t xml:space="preserve"> </w:t>
      </w:r>
      <w:r>
        <w:t xml:space="preserve">Whitfield &amp; Associates LLP</w:t>
      </w:r>
    </w:p>
    <w:p>
      <w:pPr>
        <w:pStyle w:val="BodyText"/>
      </w:pPr>
      <w:r>
        <w:t xml:space="preserve">Address:</w:t>
      </w:r>
      <w:r>
        <w:t xml:space="preserve"> </w:t>
      </w:r>
      <w:r>
        <w:t xml:space="preserve">555 California Street, Suite 1800, San Francisco, California 94104, United States</w:t>
      </w:r>
    </w:p>
    <w:p>
      <w:pPr>
        <w:pStyle w:val="BodyText"/>
      </w:pPr>
      <w:r>
        <w:t xml:space="preserve">State Bar of California License No.:</w:t>
      </w:r>
      <w:r>
        <w:t xml:space="preserve"> </w:t>
      </w:r>
      <w:r>
        <w:t xml:space="preserve">284756</w:t>
      </w:r>
    </w:p>
    <w:p>
      <w:pPr>
        <w:pStyle w:val="BodyText"/>
      </w:pPr>
      <w:r>
        <w:t xml:space="preserve">Practice Area:</w:t>
      </w:r>
      <w:r>
        <w:t xml:space="preserve"> </w:t>
      </w:r>
      <w:r>
        <w:t xml:space="preserve">Corporate Law, Commercial Litigation, and Regulatory Compliance</w:t>
      </w:r>
    </w:p>
    <w:p>
      <w:pPr>
        <w:pStyle w:val="BodyText"/>
      </w:pPr>
      <w:r>
        <w:t xml:space="preserve">Contact Email:</w:t>
      </w:r>
      <w:r>
        <w:t xml:space="preserve"> </w:t>
      </w:r>
      <w:r>
        <w:t xml:space="preserve">jwhitfield@whitfieldlaw.com</w:t>
      </w:r>
    </w:p>
    <w:p>
      <w:pPr>
        <w:pStyle w:val="BodyText"/>
      </w:pPr>
      <w:r>
        <w:t xml:space="preserve">Phone:</w:t>
      </w:r>
      <w:r>
        <w:t xml:space="preserve"> </w:t>
      </w:r>
      <w:r>
        <w:t xml:space="preserve">(415) 555-0387</w:t>
      </w:r>
    </w:p>
    <w:bookmarkEnd w:id="23"/>
    <w:bookmarkStart w:id="24" w:name="description-of-legal-services-procured"/>
    <w:p>
      <w:pPr>
        <w:pStyle w:val="Heading2"/>
      </w:pPr>
      <w:r>
        <w:t xml:space="preserve">4. Description of Legal Services Procured</w:t>
      </w:r>
    </w:p>
    <w:p>
      <w:pPr>
        <w:pStyle w:val="FirstParagraph"/>
      </w:pPr>
      <w:r>
        <w:t xml:space="preserve">This Purchase Order is issued by Pacific Meridian Technologies, Inc. (hereinafter referred to as the "Buyer") to engage the services of Jonathan R. Whitfield, Esq. (hereinafter referred to as the "Lawyer") for the provision of comprehensive legal counsel and representation. The Lawyer shall render professional legal services in accordance with the standards established by the State Bar of California and the Rules of Professional Conduct of the State of California. All services shall be performed primarily at the Lawyer's office located in San Francisco, United States, or at such other location within the San Francisco Bay Area as mutually agreed upon in writing.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Estimated Hours</w:t>
            </w:r>
          </w:p>
        </w:tc>
        <w:tc>
          <w:tcPr/>
          <w:p>
            <w:pPr>
              <w:pStyle w:val="Compact"/>
              <w:jc w:val="left"/>
            </w:pPr>
            <w:r>
              <w:t xml:space="preserve">Hourly Rate (USD)</w:t>
            </w:r>
          </w:p>
        </w:tc>
        <w:tc>
          <w:tcPr/>
          <w:p>
            <w:pPr>
              <w:pStyle w:val="Compact"/>
              <w:jc w:val="left"/>
            </w:pPr>
            <w:r>
              <w:t xml:space="preserve">Subtotal (USD)</w:t>
            </w:r>
          </w:p>
        </w:tc>
      </w:tr>
      <w:tr>
        <w:tc>
          <w:tcPr/>
          <w:p>
            <w:pPr>
              <w:pStyle w:val="Compact"/>
              <w:jc w:val="left"/>
            </w:pPr>
            <w:r>
              <w:t xml:space="preserve">001</w:t>
            </w:r>
          </w:p>
        </w:tc>
        <w:tc>
          <w:tcPr/>
          <w:p>
            <w:pPr>
              <w:pStyle w:val="Compact"/>
              <w:jc w:val="left"/>
            </w:pPr>
            <w:r>
              <w:t xml:space="preserve">Corporate governance advisory and board meeting legal counsel for the fiscal year 2025, including preparation of minutes, resolutions, and compliance filings with the California Secretary of State.</w:t>
            </w:r>
          </w:p>
        </w:tc>
        <w:tc>
          <w:tcPr/>
          <w:p>
            <w:pPr>
              <w:pStyle w:val="Compact"/>
              <w:jc w:val="left"/>
            </w:pPr>
            <w:r>
              <w:t xml:space="preserve">40</w:t>
            </w:r>
          </w:p>
        </w:tc>
        <w:tc>
          <w:tcPr/>
          <w:p>
            <w:pPr>
              <w:pStyle w:val="Compact"/>
              <w:jc w:val="left"/>
            </w:pPr>
            <w:r>
              <w:t xml:space="preserve">$425.00</w:t>
            </w:r>
          </w:p>
        </w:tc>
        <w:tc>
          <w:tcPr/>
          <w:p>
            <w:pPr>
              <w:pStyle w:val="Compact"/>
              <w:jc w:val="left"/>
            </w:pPr>
            <w:r>
              <w:t xml:space="preserve">$17,000.00</w:t>
            </w:r>
          </w:p>
        </w:tc>
      </w:tr>
      <w:tr>
        <w:tc>
          <w:tcPr/>
          <w:p>
            <w:pPr>
              <w:pStyle w:val="Compact"/>
              <w:jc w:val="left"/>
            </w:pPr>
            <w:r>
              <w:t xml:space="preserve">002</w:t>
            </w:r>
          </w:p>
        </w:tc>
        <w:tc>
          <w:tcPr/>
          <w:p>
            <w:pPr>
              <w:pStyle w:val="Compact"/>
              <w:jc w:val="left"/>
            </w:pPr>
            <w:r>
              <w:t xml:space="preserve">Review, negotiation, and execution of commercial lease agreements for the Buyer's new office space at 44 Montgomery Street, San Francisco, United States, including title examination and environmental compliance review under California law.</w:t>
            </w:r>
          </w:p>
        </w:tc>
        <w:tc>
          <w:tcPr/>
          <w:p>
            <w:pPr>
              <w:pStyle w:val="Compact"/>
              <w:jc w:val="left"/>
            </w:pPr>
            <w:r>
              <w:t xml:space="preserve">25</w:t>
            </w:r>
          </w:p>
        </w:tc>
        <w:tc>
          <w:tcPr/>
          <w:p>
            <w:pPr>
              <w:pStyle w:val="Compact"/>
              <w:jc w:val="left"/>
            </w:pPr>
            <w:r>
              <w:t xml:space="preserve">$425.00</w:t>
            </w:r>
          </w:p>
        </w:tc>
        <w:tc>
          <w:tcPr/>
          <w:p>
            <w:pPr>
              <w:pStyle w:val="Compact"/>
              <w:jc w:val="left"/>
            </w:pPr>
            <w:r>
              <w:t xml:space="preserve">$10,625.00</w:t>
            </w:r>
          </w:p>
        </w:tc>
      </w:tr>
      <w:tr>
        <w:tc>
          <w:tcPr/>
          <w:p>
            <w:pPr>
              <w:pStyle w:val="Compact"/>
              <w:jc w:val="left"/>
            </w:pPr>
            <w:r>
              <w:t xml:space="preserve">003</w:t>
            </w:r>
          </w:p>
        </w:tc>
        <w:tc>
          <w:tcPr/>
          <w:p>
            <w:pPr>
              <w:pStyle w:val="Compact"/>
              <w:jc w:val="left"/>
            </w:pPr>
            <w:r>
              <w:t xml:space="preserve">Regulatory compliance audit and legal opinion regarding the Buyer's data privacy practices in accordance with the California Consumer Privacy Act (CCPA) and the California Privacy Rights Act (CPRA), as administered within the San Francisco metropolitan area.</w:t>
            </w:r>
          </w:p>
        </w:tc>
        <w:tc>
          <w:tcPr/>
          <w:p>
            <w:pPr>
              <w:pStyle w:val="Compact"/>
              <w:jc w:val="left"/>
            </w:pPr>
            <w:r>
              <w:t xml:space="preserve">30</w:t>
            </w:r>
          </w:p>
        </w:tc>
        <w:tc>
          <w:tcPr/>
          <w:p>
            <w:pPr>
              <w:pStyle w:val="Compact"/>
              <w:jc w:val="left"/>
            </w:pPr>
            <w:r>
              <w:t xml:space="preserve">$425.00</w:t>
            </w:r>
          </w:p>
        </w:tc>
        <w:tc>
          <w:tcPr/>
          <w:p>
            <w:pPr>
              <w:pStyle w:val="Compact"/>
              <w:jc w:val="left"/>
            </w:pPr>
            <w:r>
              <w:t xml:space="preserve">$12,750.00</w:t>
            </w:r>
          </w:p>
        </w:tc>
      </w:tr>
      <w:tr>
        <w:tc>
          <w:tcPr/>
          <w:p>
            <w:pPr>
              <w:pStyle w:val="Compact"/>
              <w:jc w:val="left"/>
            </w:pPr>
            <w:r>
              <w:t xml:space="preserve">004</w:t>
            </w:r>
          </w:p>
        </w:tc>
        <w:tc>
          <w:tcPr/>
          <w:p>
            <w:pPr>
              <w:pStyle w:val="Compact"/>
              <w:jc w:val="left"/>
            </w:pPr>
            <w:r>
              <w:t xml:space="preserve">Intellectual property protection services, including drafting and filing of trademark applications with the United States Patent and Trademark Office (USPTO) and preparation of non-disclosure agreements for the Buyer's San Francisco engineering team.</w:t>
            </w:r>
          </w:p>
        </w:tc>
        <w:tc>
          <w:tcPr/>
          <w:p>
            <w:pPr>
              <w:pStyle w:val="Compact"/>
              <w:jc w:val="left"/>
            </w:pPr>
            <w:r>
              <w:t xml:space="preserve">20</w:t>
            </w:r>
          </w:p>
        </w:tc>
        <w:tc>
          <w:tcPr/>
          <w:p>
            <w:pPr>
              <w:pStyle w:val="Compact"/>
              <w:jc w:val="left"/>
            </w:pPr>
            <w:r>
              <w:t xml:space="preserve">$425.00</w:t>
            </w:r>
          </w:p>
        </w:tc>
        <w:tc>
          <w:tcPr/>
          <w:p>
            <w:pPr>
              <w:pStyle w:val="Compact"/>
              <w:jc w:val="left"/>
            </w:pPr>
            <w:r>
              <w:t xml:space="preserve">$8,500.00</w:t>
            </w:r>
          </w:p>
        </w:tc>
      </w:tr>
      <w:tr>
        <w:tc>
          <w:tcPr/>
          <w:p>
            <w:pPr>
              <w:pStyle w:val="Compact"/>
              <w:jc w:val="left"/>
            </w:pPr>
            <w:r>
              <w:t xml:space="preserve">005</w:t>
            </w:r>
          </w:p>
        </w:tc>
        <w:tc>
          <w:tcPr/>
          <w:p>
            <w:pPr>
              <w:pStyle w:val="Compact"/>
              <w:jc w:val="left"/>
            </w:pPr>
            <w:r>
              <w:t xml:space="preserve">Contingent litigation support and dispute resolution advisory in the event of commercial disputes arising from vendor contracts, to be handled in the United States District Court for the Northern District of California, San Francisco Division.</w:t>
            </w:r>
          </w:p>
        </w:tc>
        <w:tc>
          <w:tcPr/>
          <w:p>
            <w:pPr>
              <w:pStyle w:val="Compact"/>
              <w:jc w:val="left"/>
            </w:pPr>
            <w:r>
              <w:t xml:space="preserve">15</w:t>
            </w:r>
          </w:p>
        </w:tc>
        <w:tc>
          <w:tcPr/>
          <w:p>
            <w:pPr>
              <w:pStyle w:val="Compact"/>
              <w:jc w:val="left"/>
            </w:pPr>
            <w:r>
              <w:t xml:space="preserve">$425.00</w:t>
            </w:r>
          </w:p>
        </w:tc>
        <w:tc>
          <w:tcPr/>
          <w:p>
            <w:pPr>
              <w:pStyle w:val="Compact"/>
              <w:jc w:val="left"/>
            </w:pPr>
            <w:r>
              <w:t xml:space="preserve">$6,375.00</w:t>
            </w:r>
          </w:p>
        </w:tc>
      </w:tr>
      <w:tr>
        <w:tc>
          <w:tcPr>
            <w:gridSpan w:val="4"/>
          </w:tcPr>
          <w:p>
            <w:pPr>
              <w:pStyle w:val="Compact"/>
              <w:jc w:val="left"/>
            </w:pPr>
            <w:r>
              <w:t xml:space="preserve">TOTAL ESTIMATED FEE</w:t>
            </w:r>
          </w:p>
        </w:tc>
        <w:tc>
          <w:tcPr/>
          <w:p>
            <w:pPr>
              <w:pStyle w:val="Compact"/>
              <w:jc w:val="left"/>
            </w:pPr>
            <w:r>
              <w:t xml:space="preserve">$55,250.00</w:t>
            </w:r>
          </w:p>
        </w:tc>
      </w:tr>
    </w:tbl>
    <w:bookmarkEnd w:id="24"/>
    <w:bookmarkStart w:id="25" w:name="payment-terms-and-conditions"/>
    <w:p>
      <w:pPr>
        <w:pStyle w:val="Heading2"/>
      </w:pPr>
      <w:r>
        <w:t xml:space="preserve">5. Payment Terms and Conditions</w:t>
      </w:r>
    </w:p>
    <w:p>
      <w:pPr>
        <w:numPr>
          <w:ilvl w:val="0"/>
          <w:numId w:val="1001"/>
        </w:numPr>
        <w:pStyle w:val="Compact"/>
      </w:pPr>
      <w:r>
        <w:t xml:space="preserve">Payment Schedule:</w:t>
      </w:r>
      <w:r>
        <w:t xml:space="preserve"> </w:t>
      </w:r>
      <w:r>
        <w:t xml:space="preserve">The Buyer shall remit payment to the Lawyer in accordance with the following schedule: twenty-five percent (25%) upon execution of this Purchase Order, fifty percent (50%) upon completion of Items 001 through 003, and the remaining twenty-five percent (25%) upon final delivery of all services described herein. All payments shall be made in United States Dollars via wire transfer to the account designated by the Lawyer.</w:t>
      </w:r>
    </w:p>
    <w:p>
      <w:pPr>
        <w:numPr>
          <w:ilvl w:val="0"/>
          <w:numId w:val="1001"/>
        </w:numPr>
        <w:pStyle w:val="Compact"/>
      </w:pPr>
      <w:r>
        <w:t xml:space="preserve">Invoicing:</w:t>
      </w:r>
      <w:r>
        <w:t xml:space="preserve"> </w:t>
      </w:r>
      <w:r>
        <w:t xml:space="preserve">The Lawyer shall submit detailed invoices to the Buyer no later than the fifteenth (15th) day of each calendar month, itemizing all hours worked, tasks performed, and any out-of-pocket expenses incurred in the performance of services in San Francisco, United States.</w:t>
      </w:r>
    </w:p>
    <w:p>
      <w:pPr>
        <w:numPr>
          <w:ilvl w:val="0"/>
          <w:numId w:val="1001"/>
        </w:numPr>
        <w:pStyle w:val="Compact"/>
      </w:pPr>
      <w:r>
        <w:t xml:space="preserve">Late Payment:</w:t>
      </w:r>
      <w:r>
        <w:t xml:space="preserve"> </w:t>
      </w:r>
      <w:r>
        <w:t xml:space="preserve">Any payment not received within thirty (30) days of the invoice date shall accrue interest at the rate of one and one-half percent (1.5%) per month, in compliance with California Commercial Code Section 3303.</w:t>
      </w:r>
    </w:p>
    <w:p>
      <w:pPr>
        <w:numPr>
          <w:ilvl w:val="0"/>
          <w:numId w:val="1001"/>
        </w:numPr>
        <w:pStyle w:val="Compact"/>
      </w:pPr>
      <w:r>
        <w:t xml:space="preserve">Expenses:</w:t>
      </w:r>
      <w:r>
        <w:t xml:space="preserve"> </w:t>
      </w:r>
      <w:r>
        <w:t xml:space="preserve">All court filing fees, expedited service charges, travel expenses within the San Francisco Bay Area, and third-party research costs shall be billed at actual cost with supporting documentation, subject to prior written approval by the Buyer for any single expense exceeding five hundred dollars ($500.00).</w:t>
      </w:r>
    </w:p>
    <w:p>
      <w:pPr>
        <w:numPr>
          <w:ilvl w:val="0"/>
          <w:numId w:val="1001"/>
        </w:numPr>
        <w:pStyle w:val="Compact"/>
      </w:pPr>
      <w:r>
        <w:t xml:space="preserve">Confidentiality:</w:t>
      </w:r>
      <w:r>
        <w:t xml:space="preserve"> </w:t>
      </w:r>
      <w:r>
        <w:t xml:space="preserve">The Lawyer shall maintain strict confidentiality of all information obtained in the course of this engagement, in accordance with California Evidence Code Section 954 and the attorney-client privilege as recognized under the laws of the United States and the State of California.</w:t>
      </w:r>
    </w:p>
    <w:p>
      <w:pPr>
        <w:numPr>
          <w:ilvl w:val="0"/>
          <w:numId w:val="1001"/>
        </w:numPr>
        <w:pStyle w:val="Compact"/>
      </w:pPr>
      <w:r>
        <w:t xml:space="preserve">Termination:</w:t>
      </w:r>
      <w:r>
        <w:t xml:space="preserve"> </w:t>
      </w:r>
      <w:r>
        <w:t xml:space="preserve">Either party may terminate this Purchase Order with thirty (30) days' written notice. Upon termination, the Buyer shall pay the Lawyer for all services rendered and expenses incurred through the effective date of termination.</w:t>
      </w:r>
    </w:p>
    <w:p>
      <w:pPr>
        <w:numPr>
          <w:ilvl w:val="0"/>
          <w:numId w:val="1001"/>
        </w:numPr>
        <w:pStyle w:val="Compact"/>
      </w:pPr>
      <w:r>
        <w:t xml:space="preserve">Dispute Resolution:</w:t>
      </w:r>
      <w:r>
        <w:t xml:space="preserve"> </w:t>
      </w:r>
      <w:r>
        <w:t xml:space="preserve">Any dispute arising from or relating to this Purchase Order shall be resolved through binding arbitration administered by the American Arbitration Association in San Francisco, California, United States, in accordance with its Commercial Arbitration Rules. The arbitrator's decision shall be final and enforceable in any court of competent jurisdiction in the State of California.</w:t>
      </w:r>
    </w:p>
    <w:p>
      <w:pPr>
        <w:numPr>
          <w:ilvl w:val="0"/>
          <w:numId w:val="1001"/>
        </w:numPr>
        <w:pStyle w:val="Compact"/>
      </w:pPr>
      <w:r>
        <w:t xml:space="preserve">Professional Responsibility:</w:t>
      </w:r>
      <w:r>
        <w:t xml:space="preserve"> </w:t>
      </w:r>
      <w:r>
        <w:t xml:space="preserve">The Lawyer warrants that he is duly licensed and in good standing with the State Bar of California, holds active malpractice insurance with a minimum coverage of two million dollars ($2,000,000), and shall perform all services with the competence, diligence, and ethical conduct required by the California Rules of Professional Conduct.</w:t>
      </w:r>
    </w:p>
    <w:bookmarkEnd w:id="25"/>
    <w:bookmarkStart w:id="26" w:name="acceptance-and-authorization"/>
    <w:p>
      <w:pPr>
        <w:pStyle w:val="Heading2"/>
      </w:pPr>
      <w:r>
        <w:t xml:space="preserve">6. Acceptance and Authorization</w:t>
      </w:r>
    </w:p>
    <w:p>
      <w:pPr>
        <w:pStyle w:val="FirstParagraph"/>
      </w:pPr>
      <w:r>
        <w:t xml:space="preserve">By signing below, the Buyer authorizes the issuance of this Purchase Order for the legal services described herein, and the Lawyer acknowledges acceptance of the engagement terms, scope of work, and compensation structure set forth in this document. This Purchase Order constitutes a binding agreement between the parties and shall be governed by and construed in accordance with the laws of the State of California, United States, without regard to its conflict of laws principles.</w:t>
      </w:r>
    </w:p>
    <w:bookmarkEnd w:id="26"/>
    <w:p>
      <w:pPr>
        <w:pStyle w:val="BodyText"/>
      </w:pPr>
      <w:r>
        <w:rPr>
          <w:bCs/>
          <w:b/>
        </w:rPr>
        <w:t xml:space="preserve">BUYER:</w:t>
      </w:r>
    </w:p>
    <w:p>
      <w:pPr>
        <w:pStyle w:val="BodyText"/>
      </w:pPr>
      <w:r>
        <w:t xml:space="preserve">Pacific Meridian Technologies, Inc.</w:t>
      </w:r>
    </w:p>
    <w:p>
      <w:pPr>
        <w:pStyle w:val="BodyText"/>
      </w:pPr>
      <w:r>
        <w:t xml:space="preserve">By: ______________________________</w:t>
      </w:r>
    </w:p>
    <w:p>
      <w:pPr>
        <w:pStyle w:val="BodyText"/>
      </w:pPr>
      <w:r>
        <w:t xml:space="preserve">Name: Margaret Chen</w:t>
      </w:r>
    </w:p>
    <w:p>
      <w:pPr>
        <w:pStyle w:val="BodyText"/>
      </w:pPr>
      <w:r>
        <w:t xml:space="preserve">Title: Chief Financial Officer</w:t>
      </w:r>
    </w:p>
    <w:p>
      <w:pPr>
        <w:pStyle w:val="BodyText"/>
      </w:pPr>
      <w:r>
        <w:t xml:space="preserve">Date: ______________________________</w:t>
      </w:r>
    </w:p>
    <w:p>
      <w:pPr>
        <w:pStyle w:val="BodyText"/>
      </w:pPr>
      <w:r>
        <w:rPr>
          <w:bCs/>
          <w:b/>
        </w:rPr>
        <w:t xml:space="preserve">LAWYER / PROVIDER:</w:t>
      </w:r>
    </w:p>
    <w:p>
      <w:pPr>
        <w:pStyle w:val="BodyText"/>
      </w:pPr>
      <w:r>
        <w:t xml:space="preserve">Whitfield &amp; Associates LLP</w:t>
      </w:r>
    </w:p>
    <w:p>
      <w:pPr>
        <w:pStyle w:val="BodyText"/>
      </w:pPr>
      <w:r>
        <w:t xml:space="preserve">By: ______________________________</w:t>
      </w:r>
    </w:p>
    <w:p>
      <w:pPr>
        <w:pStyle w:val="BodyText"/>
      </w:pPr>
      <w:r>
        <w:t xml:space="preserve">Name: Jonathan R. Whitfield, Esq.</w:t>
      </w:r>
    </w:p>
    <w:p>
      <w:pPr>
        <w:pStyle w:val="BodyText"/>
      </w:pPr>
      <w:r>
        <w:t xml:space="preserve">Title: Managing Partner</w:t>
      </w:r>
    </w:p>
    <w:p>
      <w:pPr>
        <w:pStyle w:val="BodyText"/>
      </w:pPr>
      <w:r>
        <w:t xml:space="preserve">Date: ______________________________</w:t>
      </w:r>
    </w:p>
    <w:p>
      <w:pPr>
        <w:pStyle w:val="BodyText"/>
      </w:pPr>
      <w:r>
        <w:t xml:space="preserve">This Purchase Order (PO No. SF-2025-04871) was prepared and executed in San Francisco, California, United States. This document is valid only when signed by both parties. Unauthorized reproduction or distribution of this Purchase Order is prohibited. For questions regarding this legal services procurement, contact the Buyer's Procurement Department at (415) 555-0142 or procurement@pacificmeridian.com.</w:t>
      </w:r>
    </w:p>
    <w:p>
      <w:pPr>
        <w:pStyle w:val="BodyText"/>
      </w:pPr>
      <w:r>
        <w:t xml:space="preserve">© 2025 Pacific Meridian Technologies, Inc. All Rights Reserved. | Document Reference: SF-2025-04871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San Francisco, United States</dc:title>
  <dc:creator/>
  <dc:language>en</dc:language>
  <cp:keywords/>
  <dcterms:created xsi:type="dcterms:W3CDTF">2026-10-10T08:09:36Z</dcterms:created>
  <dcterms:modified xsi:type="dcterms:W3CDTF">2026-10-10T08:09:36Z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