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Librarian</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purchase-order"/>
    <w:p>
      <w:pPr>
        <w:pStyle w:val="Heading1"/>
      </w:pPr>
      <w:r>
        <w:t xml:space="preserve">PURCHASE ORDER</w:t>
      </w:r>
    </w:p>
    <w:p>
      <w:pPr>
        <w:pStyle w:val="FirstParagraph"/>
      </w:pPr>
      <w:r>
        <w:t xml:space="preserve">Librarian Professional Services &amp; Library Resource Procurement</w:t>
      </w:r>
    </w:p>
    <w:p>
      <w:pPr>
        <w:pStyle w:val="BodyText"/>
      </w:pPr>
      <w:r>
        <w:t xml:space="preserve">Issued for Execution in Russia Moscow</w:t>
      </w:r>
    </w:p>
    <w:bookmarkEnd w:id="20"/>
    <w:p>
      <w:pPr>
        <w:pStyle w:val="BodyText"/>
      </w:pPr>
      <w:r>
        <w:rPr>
          <w:bCs/>
          <w:b/>
        </w:rPr>
        <w:t xml:space="preserve">Purchase Order No.:</w:t>
      </w:r>
      <w:r>
        <w:t xml:space="preserve"> </w:t>
      </w:r>
      <w:r>
        <w:t xml:space="preserve">PO-RM-2025-04782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Ordering Entity:</w:t>
      </w:r>
      <w:r>
        <w:t xml:space="preserve"> </w:t>
      </w:r>
      <w:r>
        <w:t xml:space="preserve">Federal State Library Administration</w:t>
      </w:r>
      <w:r>
        <w:br/>
      </w:r>
      <w:r>
        <w:rPr>
          <w:bCs/>
          <w:b/>
        </w:rPr>
        <w:t xml:space="preserve">Address:</w:t>
      </w:r>
      <w:r>
        <w:t xml:space="preserve"> </w:t>
      </w:r>
      <w:r>
        <w:t xml:space="preserve">12 Leningradsky Prospekt, 125047 Moscow, Russia</w:t>
      </w:r>
      <w:r>
        <w:br/>
      </w:r>
      <w:r>
        <w:rPr>
          <w:bCs/>
          <w:b/>
        </w:rPr>
        <w:t xml:space="preserve">Contact:</w:t>
      </w:r>
      <w:r>
        <w:t xml:space="preserve"> </w:t>
      </w:r>
      <w:r>
        <w:t xml:space="preserve">procurement@fsla.gov.ru | +7 (495) 620-3341</w:t>
      </w:r>
    </w:p>
    <w:p>
      <w:pPr>
        <w:pStyle w:val="BodyText"/>
      </w:pPr>
      <w:r>
        <w:t xml:space="preserve">1. 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Vendor Name</w:t>
            </w:r>
          </w:p>
        </w:tc>
        <w:tc>
          <w:tcPr/>
          <w:p>
            <w:pPr>
              <w:pStyle w:val="Compact"/>
              <w:jc w:val="left"/>
            </w:pPr>
            <w:r>
              <w:t xml:space="preserve">Libraria Professional Services LLC (ООО «Либрария Профсервис»)</w:t>
            </w:r>
          </w:p>
        </w:tc>
      </w:tr>
      <w:tr>
        <w:tc>
          <w:tcPr/>
          <w:p>
            <w:pPr>
              <w:pStyle w:val="Compact"/>
              <w:jc w:val="left"/>
            </w:pPr>
            <w:r>
              <w:t xml:space="preserve">Registered Address</w:t>
            </w:r>
          </w:p>
        </w:tc>
        <w:tc>
          <w:tcPr/>
          <w:p>
            <w:pPr>
              <w:pStyle w:val="Compact"/>
              <w:jc w:val="left"/>
            </w:pPr>
            <w:r>
              <w:t xml:space="preserve">45 Tverskaya Street, Office 210, 125009 Moscow, Russia</w:t>
            </w:r>
          </w:p>
        </w:tc>
      </w:tr>
      <w:tr>
        <w:tc>
          <w:tcPr/>
          <w:p>
            <w:pPr>
              <w:pStyle w:val="Compact"/>
              <w:jc w:val="left"/>
            </w:pPr>
            <w:r>
              <w:t xml:space="preserve">Tax Identification Number (INN)</w:t>
            </w:r>
          </w:p>
        </w:tc>
        <w:tc>
          <w:tcPr/>
          <w:p>
            <w:pPr>
              <w:pStyle w:val="Compact"/>
              <w:jc w:val="left"/>
            </w:pPr>
            <w:r>
              <w:t xml:space="preserve">7706543210</w:t>
            </w:r>
          </w:p>
        </w:tc>
      </w:tr>
      <w:tr>
        <w:tc>
          <w:tcPr/>
          <w:p>
            <w:pPr>
              <w:pStyle w:val="Compact"/>
              <w:jc w:val="left"/>
            </w:pPr>
            <w:r>
              <w:t xml:space="preserve">Bank Details</w:t>
            </w:r>
          </w:p>
        </w:tc>
        <w:tc>
          <w:tcPr/>
          <w:p>
            <w:pPr>
              <w:pStyle w:val="Compact"/>
              <w:jc w:val="left"/>
            </w:pPr>
            <w:r>
              <w:t xml:space="preserve">Sberbank, Account 40702810400000123456, BIC: SABRRUMM</w:t>
            </w:r>
          </w:p>
        </w:tc>
      </w:tr>
      <w:tr>
        <w:tc>
          <w:tcPr/>
          <w:p>
            <w:pPr>
              <w:pStyle w:val="Compact"/>
              <w:jc w:val="left"/>
            </w:pPr>
            <w:r>
              <w:t xml:space="preserve">Authorized Representative</w:t>
            </w:r>
          </w:p>
        </w:tc>
        <w:tc>
          <w:tcPr/>
          <w:p>
            <w:pPr>
              <w:pStyle w:val="Compact"/>
              <w:jc w:val="left"/>
            </w:pPr>
            <w:r>
              <w:t xml:space="preserve">Dr. Elena V. Sokolova, Director of Professional Placement</w:t>
            </w:r>
          </w:p>
        </w:tc>
      </w:tr>
      <w:tr>
        <w:tc>
          <w:tcPr/>
          <w:p>
            <w:pPr>
              <w:pStyle w:val="Compact"/>
              <w:jc w:val="left"/>
            </w:pPr>
            <w:r>
              <w:t xml:space="preserve">Vendor Contact</w:t>
            </w:r>
          </w:p>
        </w:tc>
        <w:tc>
          <w:tcPr/>
          <w:p>
            <w:pPr>
              <w:pStyle w:val="Compact"/>
              <w:jc w:val="left"/>
            </w:pPr>
            <w:r>
              <w:t xml:space="preserve">contracts@libraria-profservice.ru | +7 (495) 771-8890</w:t>
            </w:r>
          </w:p>
        </w:tc>
      </w:tr>
    </w:tbl>
    <w:p>
      <w:pPr>
        <w:pStyle w:val="BodyText"/>
      </w:pPr>
      <w:r>
        <w:t xml:space="preserve">2. Scope of Procurement – Librarian Services</w:t>
      </w:r>
    </w:p>
    <w:p>
      <w:pPr>
        <w:pStyle w:val="BodyText"/>
      </w:pPr>
      <w:r>
        <w:t xml:space="preserve">This Purchase Order is issued by the Federal State Library Administration for the procurement of qualified Librarian professional services and associated library resources to be deployed and executed within the jurisdiction of Russia Moscow. The selected Librarian candidate(s) shall be responsible for the curation, cataloguing, digitisation, and public-facing management of the Central Moscow Municipal Library Collection, which encompasses over 2.4 million volumes spanning Russian literature, international academic journals, historical manuscripts, and digital media archives. The Librarian engagement is structured under the terms of Federal Law No. 436-FZ on the Protection of Children's Rights and the Library Law of the Russian Federation (Federal Law No. 54-FZ of 29 December 1994), ensuring full compliance with all regulatory standards governing library operations in Russia Moscow.</w:t>
      </w:r>
    </w:p>
    <w:p>
      <w:pPr>
        <w:pStyle w:val="BodyText"/>
      </w:pPr>
      <w:r>
        <w:t xml:space="preserve">3.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Senior Librarian – Full-time professional engagement (12-month contract) for the Central Moscow Municipal Library. Includes cataloguing, reference services, collection development, and reader consultation duties.</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Junior Librarian Assistant – Part-time support (12-month contract) for digitisation of historical manuscripts and maintenance of the electronic catalogue system in Russia Moscow.</w:t>
            </w:r>
          </w:p>
        </w:tc>
        <w:tc>
          <w:tcPr/>
          <w:p>
            <w:pPr>
              <w:pStyle w:val="Compact"/>
              <w:jc w:val="left"/>
            </w:pPr>
            <w:r>
              <w:t xml:space="preserve">1</w:t>
            </w:r>
          </w:p>
        </w:tc>
        <w:tc>
          <w:tcPr/>
          <w:p>
            <w:pPr>
              <w:pStyle w:val="Compact"/>
              <w:jc w:val="left"/>
            </w:pPr>
            <w:r>
              <w:t xml:space="preserve">920,000</w:t>
            </w:r>
          </w:p>
        </w:tc>
        <w:tc>
          <w:tcPr/>
          <w:p>
            <w:pPr>
              <w:pStyle w:val="Compact"/>
              <w:jc w:val="left"/>
            </w:pPr>
            <w:r>
              <w:t xml:space="preserve">920,000</w:t>
            </w:r>
          </w:p>
        </w:tc>
      </w:tr>
      <w:tr>
        <w:tc>
          <w:tcPr/>
          <w:p>
            <w:pPr>
              <w:pStyle w:val="Compact"/>
              <w:jc w:val="left"/>
            </w:pPr>
            <w:r>
              <w:t xml:space="preserve">03</w:t>
            </w:r>
          </w:p>
        </w:tc>
        <w:tc>
          <w:tcPr/>
          <w:p>
            <w:pPr>
              <w:pStyle w:val="Compact"/>
              <w:jc w:val="left"/>
            </w:pPr>
            <w:r>
              <w:t xml:space="preserve">Professional Librarian Training &amp; Certification Programme – Annual continuing education for all Librarian staff, including IFLA-aligned workshops on digital library management and Russian archival standards.</w:t>
            </w:r>
          </w:p>
        </w:tc>
        <w:tc>
          <w:tcPr/>
          <w:p>
            <w:pPr>
              <w:pStyle w:val="Compact"/>
              <w:jc w:val="left"/>
            </w:pPr>
            <w:r>
              <w:t xml:space="preserve">2</w:t>
            </w:r>
          </w:p>
        </w:tc>
        <w:tc>
          <w:tcPr/>
          <w:p>
            <w:pPr>
              <w:pStyle w:val="Compact"/>
              <w:jc w:val="left"/>
            </w:pPr>
            <w:r>
              <w:t xml:space="preserve">185,000</w:t>
            </w:r>
          </w:p>
        </w:tc>
        <w:tc>
          <w:tcPr/>
          <w:p>
            <w:pPr>
              <w:pStyle w:val="Compact"/>
              <w:jc w:val="left"/>
            </w:pPr>
            <w:r>
              <w:t xml:space="preserve">370,000</w:t>
            </w:r>
          </w:p>
        </w:tc>
      </w:tr>
      <w:tr>
        <w:tc>
          <w:tcPr/>
          <w:p>
            <w:pPr>
              <w:pStyle w:val="Compact"/>
              <w:jc w:val="left"/>
            </w:pPr>
            <w:r>
              <w:t xml:space="preserve">04</w:t>
            </w:r>
          </w:p>
        </w:tc>
        <w:tc>
          <w:tcPr/>
          <w:p>
            <w:pPr>
              <w:pStyle w:val="Compact"/>
              <w:jc w:val="left"/>
            </w:pPr>
            <w:r>
              <w:t xml:space="preserve">Library Resource Acquisition – Purchase of 350 new academic volumes, 120 periodical subscriptions, and 45 digital database licences for the Librarian-managed collection in Russia Moscow.</w:t>
            </w:r>
          </w:p>
        </w:tc>
        <w:tc>
          <w:tcPr/>
          <w:p>
            <w:pPr>
              <w:pStyle w:val="Compact"/>
              <w:jc w:val="left"/>
            </w:pPr>
            <w:r>
              <w:t xml:space="preserve">1</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05</w:t>
            </w:r>
          </w:p>
        </w:tc>
        <w:tc>
          <w:tcPr/>
          <w:p>
            <w:pPr>
              <w:pStyle w:val="Compact"/>
              <w:jc w:val="left"/>
            </w:pPr>
            <w:r>
              <w:t xml:space="preserve">Library IT Infrastructure Upgrade – Hardware and software procurement to support the Librarian's digital cataloguing workflow, including 8 workstations, 2 high-speed scanners, and a licensed integrated library management system (ILMS).</w:t>
            </w:r>
          </w:p>
        </w:tc>
        <w:tc>
          <w:tcPr/>
          <w:p>
            <w:pPr>
              <w:pStyle w:val="Compact"/>
              <w:jc w:val="left"/>
            </w:pPr>
            <w:r>
              <w:t xml:space="preserve">1</w:t>
            </w:r>
          </w:p>
        </w:tc>
        <w:tc>
          <w:tcPr/>
          <w:p>
            <w:pPr>
              <w:pStyle w:val="Compact"/>
              <w:jc w:val="left"/>
            </w:pPr>
            <w:r>
              <w:t xml:space="preserve">2,100,000</w:t>
            </w:r>
          </w:p>
        </w:tc>
        <w:tc>
          <w:tcPr/>
          <w:p>
            <w:pPr>
              <w:pStyle w:val="Compact"/>
              <w:jc w:val="left"/>
            </w:pPr>
            <w:r>
              <w:t xml:space="preserve">2,100,000</w:t>
            </w:r>
          </w:p>
        </w:tc>
      </w:tr>
      <w:tr>
        <w:tc>
          <w:tcPr/>
          <w:p>
            <w:pPr>
              <w:pStyle w:val="Compact"/>
              <w:jc w:val="left"/>
            </w:pPr>
            <w:r>
              <w:t xml:space="preserve">06</w:t>
            </w:r>
          </w:p>
        </w:tc>
        <w:tc>
          <w:tcPr/>
          <w:p>
            <w:pPr>
              <w:pStyle w:val="Compact"/>
              <w:jc w:val="left"/>
            </w:pPr>
            <w:r>
              <w:t xml:space="preserve">Facility Preparation &amp; Compliance Audit – Pre-deployment inspection and regulatory compliance verification of the library premises in Russia Moscow to meet all Federal State Library Administration standards for Librarian operational environments.</w:t>
            </w:r>
          </w:p>
        </w:tc>
        <w:tc>
          <w:tcPr/>
          <w:p>
            <w:pPr>
              <w:pStyle w:val="Compact"/>
              <w:jc w:val="left"/>
            </w:pPr>
            <w:r>
              <w:t xml:space="preserve">1</w:t>
            </w:r>
          </w:p>
        </w:tc>
        <w:tc>
          <w:tcPr/>
          <w:p>
            <w:pPr>
              <w:pStyle w:val="Compact"/>
              <w:jc w:val="left"/>
            </w:pPr>
            <w:r>
              <w:t xml:space="preserve">340,000</w:t>
            </w:r>
          </w:p>
        </w:tc>
        <w:tc>
          <w:tcPr/>
          <w:p>
            <w:pPr>
              <w:pStyle w:val="Compact"/>
              <w:jc w:val="left"/>
            </w:pPr>
            <w:r>
              <w:t xml:space="preserve">340,000</w:t>
            </w:r>
          </w:p>
        </w:tc>
      </w:tr>
      <w:tr>
        <w:tc>
          <w:tcPr>
            <w:gridSpan w:val="4"/>
          </w:tcPr>
          <w:p>
            <w:pPr>
              <w:pStyle w:val="Compact"/>
              <w:jc w:val="left"/>
            </w:pPr>
            <w:r>
              <w:t xml:space="preserve">SUBTOTAL</w:t>
            </w:r>
          </w:p>
        </w:tc>
        <w:tc>
          <w:tcPr/>
          <w:p>
            <w:pPr>
              <w:pStyle w:val="Compact"/>
              <w:jc w:val="left"/>
            </w:pPr>
            <w:r>
              <w:t xml:space="preserve">6,820,000</w:t>
            </w:r>
          </w:p>
        </w:tc>
      </w:tr>
      <w:tr>
        <w:tc>
          <w:tcPr>
            <w:gridSpan w:val="4"/>
          </w:tcPr>
          <w:p>
            <w:pPr>
              <w:pStyle w:val="Compact"/>
              <w:jc w:val="left"/>
            </w:pPr>
            <w:r>
              <w:t xml:space="preserve">VAT (20% per Russian Tax Code)</w:t>
            </w:r>
          </w:p>
        </w:tc>
        <w:tc>
          <w:tcPr/>
          <w:p>
            <w:pPr>
              <w:pStyle w:val="Compact"/>
              <w:jc w:val="left"/>
            </w:pPr>
            <w:r>
              <w:t xml:space="preserve">1,364,000</w:t>
            </w:r>
          </w:p>
        </w:tc>
      </w:tr>
      <w:tr>
        <w:tc>
          <w:tcPr>
            <w:gridSpan w:val="4"/>
          </w:tcPr>
          <w:p>
            <w:pPr>
              <w:pStyle w:val="Compact"/>
              <w:jc w:val="left"/>
            </w:pPr>
            <w:r>
              <w:t xml:space="preserve">GRAND TOTAL (RUB)</w:t>
            </w:r>
          </w:p>
        </w:tc>
        <w:tc>
          <w:tcPr/>
          <w:p>
            <w:pPr>
              <w:pStyle w:val="Compact"/>
              <w:jc w:val="left"/>
            </w:pPr>
            <w:r>
              <w:t xml:space="preserve">8,184,000</w:t>
            </w:r>
          </w:p>
        </w:tc>
      </w:tr>
    </w:tbl>
    <w:p>
      <w:pPr>
        <w:pStyle w:val="BodyText"/>
      </w:pPr>
      <w:r>
        <w:t xml:space="preserve">4. Delivery and Deployment Location</w:t>
      </w:r>
    </w:p>
    <w:p>
      <w:pPr>
        <w:pStyle w:val="BodyText"/>
      </w:pPr>
      <w:r>
        <w:t xml:space="preserve">All services, personnel, and materials procured under this Purchase Order shall be delivered, deployed, and made operational at the following location in Russia Moscow:</w:t>
      </w:r>
    </w:p>
    <w:p>
      <w:pPr>
        <w:pStyle w:val="BodyText"/>
      </w:pPr>
      <w:r>
        <w:rPr>
          <w:bCs/>
          <w:b/>
        </w:rPr>
        <w:t xml:space="preserve">Central Moscow Municipal Library</w:t>
      </w:r>
      <w:r>
        <w:br/>
      </w:r>
      <w:r>
        <w:t xml:space="preserve">12 Leningradsky Prospekt, 125047 Moscow, Russia</w:t>
      </w:r>
      <w:r>
        <w:br/>
      </w:r>
      <w:r>
        <w:t xml:space="preserve">Operating Hours: Monday–Saturday, 09:00–21:00; Sunday, 10:00–18:00 (Moscow Time, UTC+3)</w:t>
      </w:r>
    </w:p>
    <w:p>
      <w:pPr>
        <w:pStyle w:val="BodyText"/>
      </w:pPr>
      <w:r>
        <w:t xml:space="preserve">The Librarian and all associated staff shall report to the designated facility no later than 01 July 2025. All physical materials (volumes, periodicals, hardware) must be delivered and installed at the Russia Moscow site by 25 June 2025 to allow adequate time for the Librarian to configure the integrated catalogue and prepare the reading rooms for public access.</w:t>
      </w:r>
    </w:p>
    <w:p>
      <w:pPr>
        <w:pStyle w:val="BodyText"/>
      </w:pPr>
      <w:r>
        <w:t xml:space="preserve">5. Payment Terms</w:t>
      </w:r>
    </w:p>
    <w:p>
      <w:pPr>
        <w:pStyle w:val="BodyText"/>
      </w:pPr>
      <w:r>
        <w:t xml:space="preserve">Payment shall be made in Russian Rubles (RUB) via bank transfer to the vendor account specified in Section 1. The payment schedule is as follows:</w:t>
      </w:r>
    </w:p>
    <w:p>
      <w:pPr>
        <w:numPr>
          <w:ilvl w:val="0"/>
          <w:numId w:val="1001"/>
        </w:numPr>
        <w:pStyle w:val="Compact"/>
      </w:pPr>
      <w:r>
        <w:rPr>
          <w:bCs/>
          <w:b/>
        </w:rPr>
        <w:t xml:space="preserve">30% Advance Payment (2,455,200 RUB):</w:t>
      </w:r>
      <w:r>
        <w:t xml:space="preserve"> </w:t>
      </w:r>
      <w:r>
        <w:t xml:space="preserve">Due within 10 business days of Purchase Order acceptance and signature by both parties.</w:t>
      </w:r>
    </w:p>
    <w:p>
      <w:pPr>
        <w:numPr>
          <w:ilvl w:val="0"/>
          <w:numId w:val="1001"/>
        </w:numPr>
        <w:pStyle w:val="Compact"/>
      </w:pPr>
      <w:r>
        <w:rPr>
          <w:bCs/>
          <w:b/>
        </w:rPr>
        <w:t xml:space="preserve">40% Milestone Payment (3,273,600 RUB):</w:t>
      </w:r>
      <w:r>
        <w:t xml:space="preserve"> </w:t>
      </w:r>
      <w:r>
        <w:t xml:space="preserve">Due upon confirmed deployment of the Librarian staff and delivery of all physical resources to the Russia Moscow facility.</w:t>
      </w:r>
    </w:p>
    <w:p>
      <w:pPr>
        <w:numPr>
          <w:ilvl w:val="0"/>
          <w:numId w:val="1001"/>
        </w:numPr>
        <w:pStyle w:val="Compact"/>
      </w:pPr>
      <w:r>
        <w:rPr>
          <w:bCs/>
          <w:b/>
        </w:rPr>
        <w:t xml:space="preserve">30% Final Payment (2,455,200 RUB):</w:t>
      </w:r>
      <w:r>
        <w:t xml:space="preserve"> </w:t>
      </w:r>
      <w:r>
        <w:t xml:space="preserve">Due upon successful completion of the 30-day probationary period and written acceptance by the Federal State Library Administration.</w:t>
      </w:r>
    </w:p>
    <w:p>
      <w:pPr>
        <w:pStyle w:val="FirstParagraph"/>
      </w:pPr>
      <w:r>
        <w:t xml:space="preserve">Payment is due within 30 calendar days of invoice receipt. Late payments shall accrue interest at the rate of 0.1% per calendar day in accordance with Article 317.1 of the Civil Code of the Russian Federation.</w:t>
      </w:r>
    </w:p>
    <w:p>
      <w:pPr>
        <w:pStyle w:val="BodyText"/>
      </w:pPr>
      <w:r>
        <w:t xml:space="preserve">6. Terms and Conditions</w:t>
      </w:r>
    </w:p>
    <w:p>
      <w:pPr>
        <w:numPr>
          <w:ilvl w:val="0"/>
          <w:numId w:val="1002"/>
        </w:numPr>
        <w:pStyle w:val="Compact"/>
      </w:pPr>
      <w:r>
        <w:t xml:space="preserve">This Purchase Order is governed by the Civil Code of the Russian Federation and applicable federal legislation of Russia Moscow. Any disputes arising from this Purchase Order shall be resolved through arbitration at the Arbitration Court of the City of Moscow.</w:t>
      </w:r>
    </w:p>
    <w:p>
      <w:pPr>
        <w:numPr>
          <w:ilvl w:val="0"/>
          <w:numId w:val="1002"/>
        </w:numPr>
        <w:pStyle w:val="Compact"/>
      </w:pPr>
      <w:r>
        <w:t xml:space="preserve">The Librarian engaged under this Purchase Order must hold a minimum of a Master's degree in Library Science, Information Science, or a related discipline from an accredited Russian or internationally recognised institution, and must demonstrate proficiency in both Russian and English.</w:t>
      </w:r>
    </w:p>
    <w:p>
      <w:pPr>
        <w:numPr>
          <w:ilvl w:val="0"/>
          <w:numId w:val="1002"/>
        </w:numPr>
        <w:pStyle w:val="Compact"/>
      </w:pPr>
      <w:r>
        <w:t xml:space="preserve">The vendor warrants that all Librarian personnel shall be subject to a background check in compliance with Russian federal security regulations prior to deployment in Russia Moscow.</w:t>
      </w:r>
    </w:p>
    <w:p>
      <w:pPr>
        <w:numPr>
          <w:ilvl w:val="0"/>
          <w:numId w:val="1002"/>
        </w:numPr>
        <w:pStyle w:val="Compact"/>
      </w:pPr>
      <w:r>
        <w:t xml:space="preserve">All intellectual property created by the Librarian during the term of this Purchase Order, including catalogue entries, digitised content, and research outputs, shall remain the exclusive property of the Federal State Library Administration.</w:t>
      </w:r>
    </w:p>
    <w:p>
      <w:pPr>
        <w:numPr>
          <w:ilvl w:val="0"/>
          <w:numId w:val="1002"/>
        </w:numPr>
        <w:pStyle w:val="Compact"/>
      </w:pPr>
      <w:r>
        <w:t xml:space="preserve">The vendor shall maintain full civil liability insurance coverage of no less than 5,000,000 RUB for the duration of the contract.</w:t>
      </w:r>
    </w:p>
    <w:p>
      <w:pPr>
        <w:numPr>
          <w:ilvl w:val="0"/>
          <w:numId w:val="1002"/>
        </w:numPr>
        <w:pStyle w:val="Compact"/>
      </w:pPr>
      <w:r>
        <w:t xml:space="preserve">Either party may terminate this Purchase Order with 60 days' written notice. In the event of termination, all undelivered items and unperformed Librarian services shall be cancelled, and a pro-rata refund shall be issued within 30 days.</w:t>
      </w:r>
    </w:p>
    <w:p>
      <w:pPr>
        <w:numPr>
          <w:ilvl w:val="0"/>
          <w:numId w:val="1002"/>
        </w:numPr>
        <w:pStyle w:val="Compact"/>
      </w:pPr>
      <w:r>
        <w:t xml:space="preserve">All communications regarding this Purchase Order shall be conducted in Russian, with English translations provided for reference where necessary.</w:t>
      </w:r>
    </w:p>
    <w:p>
      <w:pPr>
        <w:pStyle w:val="FirstParagraph"/>
      </w:pPr>
      <w:r>
        <w:t xml:space="preserve">7. Acceptance and Signatures</w:t>
      </w:r>
    </w:p>
    <w:p>
      <w:pPr>
        <w:pStyle w:val="BodyText"/>
      </w:pPr>
      <w:r>
        <w:rPr>
          <w:bCs/>
          <w:b/>
        </w:rPr>
        <w:t xml:space="preserve">For and on behalf of the Ordering Entity:</w:t>
      </w:r>
      <w:r>
        <w:br/>
      </w:r>
      <w:r>
        <w:t xml:space="preserve">Federal State Library Administration, Russia Moscow</w:t>
      </w:r>
    </w:p>
    <w:p>
      <w:pPr>
        <w:pStyle w:val="BodyText"/>
      </w:pPr>
      <w:r>
        <w:rPr>
          <w:bCs/>
          <w:b/>
        </w:rPr>
        <w:t xml:space="preserve">Name:</w:t>
      </w:r>
      <w:r>
        <w:t xml:space="preserve"> </w:t>
      </w:r>
      <w:r>
        <w:t xml:space="preserve">Prof. Dmitry A. Volkov, Chief Director</w:t>
      </w:r>
      <w:r>
        <w:br/>
      </w:r>
      <w:r>
        <w:rPr>
          <w:bCs/>
          <w:b/>
        </w:rPr>
        <w:t xml:space="preserve">Title:</w:t>
      </w:r>
      <w:r>
        <w:t xml:space="preserve"> </w:t>
      </w:r>
      <w:r>
        <w:t xml:space="preserve">Head of Procurement &amp; Human Resources</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r>
        <w:br/>
      </w:r>
      <w:r>
        <w:rPr>
          <w:bCs/>
          <w:b/>
        </w:rPr>
        <w:t xml:space="preserve">Official Seal:</w:t>
      </w:r>
    </w:p>
    <w:p>
      <w:pPr>
        <w:pStyle w:val="BodyText"/>
      </w:pPr>
      <w:r>
        <w:rPr>
          <w:bCs/>
          <w:b/>
        </w:rPr>
        <w:t xml:space="preserve">For and on behalf of the Vendor:</w:t>
      </w:r>
      <w:r>
        <w:br/>
      </w:r>
      <w:r>
        <w:t xml:space="preserve">Libraria Professional Services LLC, Russia Moscow</w:t>
      </w:r>
    </w:p>
    <w:p>
      <w:pPr>
        <w:pStyle w:val="BodyText"/>
      </w:pPr>
      <w:r>
        <w:rPr>
          <w:bCs/>
          <w:b/>
        </w:rPr>
        <w:t xml:space="preserve">Name:</w:t>
      </w:r>
      <w:r>
        <w:t xml:space="preserve"> </w:t>
      </w:r>
      <w:r>
        <w:t xml:space="preserve">Dr. Elena V. Sokolova</w:t>
      </w:r>
      <w:r>
        <w:br/>
      </w:r>
      <w:r>
        <w:rPr>
          <w:bCs/>
          <w:b/>
        </w:rPr>
        <w:t xml:space="preserve">Title:</w:t>
      </w:r>
      <w:r>
        <w:t xml:space="preserve"> </w:t>
      </w:r>
      <w:r>
        <w:t xml:space="preserve">Director of Professional Placement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r>
        <w:br/>
      </w:r>
      <w:r>
        <w:rPr>
          <w:bCs/>
          <w:b/>
        </w:rPr>
        <w:t xml:space="preserve">Official Seal:</w:t>
      </w:r>
    </w:p>
    <w:p>
      <w:pPr>
        <w:pStyle w:val="BodyText"/>
      </w:pPr>
      <w:r>
        <w:rPr>
          <w:bCs/>
          <w:b/>
        </w:rPr>
        <w:t xml:space="preserve">Notes:</w:t>
      </w:r>
      <w:r>
        <w:t xml:space="preserve"> </w:t>
      </w:r>
      <w:r>
        <w:t xml:space="preserve">This Purchase Order constitutes a binding agreement upon execution by both parties. The Librarian services described herein are specific to the operational requirements of the Central Moscow Municipal Library and are not transferable to any other institution or location outside of Russia Moscow without prior written consent from the Federal State Library Administration. All references to "Russia Moscow" in this document denote the administrative jurisdiction of the City of Moscow, Russian Federation, and its applicable municipal and federal regulatory frameworks.</w:t>
      </w:r>
    </w:p>
    <w:p>
      <w:pPr>
        <w:pStyle w:val="BodyText"/>
      </w:pPr>
      <w:r>
        <w:t xml:space="preserve">Purchase Order No. PO-RM-2025-04782 | Federal State Library Administration | Russia Moscow | Page 1 of 1</w:t>
      </w:r>
    </w:p>
    <w:p>
      <w:pPr>
        <w:pStyle w:val="BodyText"/>
      </w:pPr>
      <w:r>
        <w:t xml:space="preserve">Document Classification: Official – Procurement | Retention Period: 5 years per Russian Federal Archival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Librarian Services - Russia Moscow</dc:title>
  <dc:creator/>
  <dc:language>en</dc:language>
  <cp:keywords/>
  <dcterms:created xsi:type="dcterms:W3CDTF">2026-10-10T08:03:27Z</dcterms:created>
  <dcterms:modified xsi:type="dcterms:W3CDTF">2026-10-10T08:03:27Z</dcterms:modified>
</cp:coreProperties>
</file>

<file path=docProps/custom.xml><?xml version="1.0" encoding="utf-8"?>
<Properties xmlns="http://schemas.openxmlformats.org/officeDocument/2006/custom-properties" xmlns:vt="http://schemas.openxmlformats.org/officeDocument/2006/docPropsVTypes"/>
</file>