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purchase-order"/>
    <w:p>
      <w:pPr>
        <w:pStyle w:val="Heading1"/>
      </w:pPr>
      <w:r>
        <w:t xml:space="preserve">PURCHASE ORDER</w:t>
      </w:r>
    </w:p>
    <w:p>
      <w:pPr>
        <w:pStyle w:val="FirstParagraph"/>
      </w:pPr>
      <w:r>
        <w:t xml:space="preserve">Professional Librarian Services &amp; Library Operations Procurement</w:t>
      </w:r>
    </w:p>
    <w:p>
      <w:pPr>
        <w:pStyle w:val="BodyText"/>
      </w:pPr>
      <w:r>
        <w:t xml:space="preserve">Russia Saint Petersburg | Federal Library District</w:t>
      </w:r>
    </w:p>
    <w:bookmarkEnd w:id="20"/>
    <w:p>
      <w:pPr>
        <w:pStyle w:val="BodyText"/>
      </w:pPr>
      <w:r>
        <w:rPr>
          <w:bCs/>
          <w:b/>
        </w:rPr>
        <w:t xml:space="preserve">Purchase Order No.:</w:t>
      </w:r>
      <w:r>
        <w:t xml:space="preserve"> </w:t>
      </w:r>
      <w:r>
        <w:t xml:space="preserve">PO-RSP-2025-04871</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Priority:</w:t>
      </w:r>
      <w:r>
        <w:t xml:space="preserve"> </w:t>
      </w:r>
      <w:r>
        <w:t xml:space="preserve">Standard</w:t>
      </w:r>
      <w:r>
        <w:br/>
      </w:r>
      <w:r>
        <w:rPr>
          <w:bCs/>
          <w:b/>
        </w:rPr>
        <w:t xml:space="preserve">Currency:</w:t>
      </w:r>
      <w:r>
        <w:t xml:space="preserve"> </w:t>
      </w:r>
      <w:r>
        <w:t xml:space="preserve">Russian Ruble (RUB)</w:t>
      </w:r>
      <w:r>
        <w:br/>
      </w:r>
      <w:r>
        <w:rPr>
          <w:bCs/>
          <w:b/>
        </w:rPr>
        <w:t xml:space="preserve">Payment Terms:</w:t>
      </w:r>
      <w:r>
        <w:t xml:space="preserve"> </w:t>
      </w:r>
      <w:r>
        <w:t xml:space="preserve">Net 30 Days</w:t>
      </w:r>
    </w:p>
    <w:p>
      <w:pPr>
        <w:pStyle w:val="BodyText"/>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Saint Petersburg Municipal Library Authority, Russia Saint Petersburg</w:t>
            </w:r>
          </w:p>
        </w:tc>
      </w:tr>
      <w:tr>
        <w:tc>
          <w:tcPr/>
          <w:p>
            <w:pPr>
              <w:pStyle w:val="Compact"/>
              <w:jc w:val="left"/>
            </w:pPr>
            <w:r>
              <w:t xml:space="preserve">Address</w:t>
            </w:r>
          </w:p>
        </w:tc>
        <w:tc>
          <w:tcPr/>
          <w:p>
            <w:pPr>
              <w:pStyle w:val="Compact"/>
              <w:jc w:val="left"/>
            </w:pPr>
            <w:r>
              <w:t xml:space="preserve">12 Nevsky Prospekt, Saint Petersburg, 191025, Russia</w:t>
            </w:r>
          </w:p>
        </w:tc>
      </w:tr>
      <w:tr>
        <w:tc>
          <w:tcPr/>
          <w:p>
            <w:pPr>
              <w:pStyle w:val="Compact"/>
              <w:jc w:val="left"/>
            </w:pPr>
            <w:r>
              <w:t xml:space="preserve">Contact Person</w:t>
            </w:r>
          </w:p>
        </w:tc>
        <w:tc>
          <w:tcPr/>
          <w:p>
            <w:pPr>
              <w:pStyle w:val="Compact"/>
              <w:jc w:val="left"/>
            </w:pPr>
            <w:r>
              <w:t xml:space="preserve">Dr. Elena V. Sokolova, Director of Procurement</w:t>
            </w:r>
          </w:p>
        </w:tc>
      </w:tr>
      <w:tr>
        <w:tc>
          <w:tcPr/>
          <w:p>
            <w:pPr>
              <w:pStyle w:val="Compact"/>
              <w:jc w:val="left"/>
            </w:pPr>
            <w:r>
              <w:t xml:space="preserve">Telephone</w:t>
            </w:r>
          </w:p>
        </w:tc>
        <w:tc>
          <w:tcPr/>
          <w:p>
            <w:pPr>
              <w:pStyle w:val="Compact"/>
              <w:jc w:val="left"/>
            </w:pPr>
            <w:r>
              <w:t xml:space="preserve">+7 (812) 555-0147</w:t>
            </w:r>
          </w:p>
        </w:tc>
      </w:tr>
      <w:tr>
        <w:tc>
          <w:tcPr/>
          <w:p>
            <w:pPr>
              <w:pStyle w:val="Compact"/>
              <w:jc w:val="left"/>
            </w:pPr>
            <w:r>
              <w:t xml:space="preserve">Email</w:t>
            </w:r>
          </w:p>
        </w:tc>
        <w:tc>
          <w:tcPr/>
          <w:p>
            <w:pPr>
              <w:pStyle w:val="Compact"/>
              <w:jc w:val="left"/>
            </w:pPr>
            <w:r>
              <w:t xml:space="preserve">procurement@spb-library.gov.ru</w:t>
            </w:r>
          </w:p>
        </w:tc>
      </w:tr>
      <w:tr>
        <w:tc>
          <w:tcPr/>
          <w:p>
            <w:pPr>
              <w:pStyle w:val="Compact"/>
              <w:jc w:val="left"/>
            </w:pPr>
            <w:r>
              <w:t xml:space="preserve">Tax Registration No.</w:t>
            </w:r>
          </w:p>
        </w:tc>
        <w:tc>
          <w:tcPr/>
          <w:p>
            <w:pPr>
              <w:pStyle w:val="Compact"/>
              <w:jc w:val="left"/>
            </w:pPr>
            <w:r>
              <w:t xml:space="preserve">7811234567</w:t>
            </w:r>
          </w:p>
        </w:tc>
      </w:tr>
    </w:tbl>
    <w:p>
      <w:pPr>
        <w:pStyle w:val="BodyText"/>
      </w:pPr>
      <w:r>
        <w:t xml:space="preserve">2. Supplier / Service Provider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Northwind Library Consulting &amp; Staffing LLP</w:t>
            </w:r>
          </w:p>
        </w:tc>
      </w:tr>
      <w:tr>
        <w:tc>
          <w:tcPr/>
          <w:p>
            <w:pPr>
              <w:pStyle w:val="Compact"/>
              <w:jc w:val="left"/>
            </w:pPr>
            <w:r>
              <w:t xml:space="preserve">Address</w:t>
            </w:r>
          </w:p>
        </w:tc>
        <w:tc>
          <w:tcPr/>
          <w:p>
            <w:pPr>
              <w:pStyle w:val="Compact"/>
              <w:jc w:val="left"/>
            </w:pPr>
            <w:r>
              <w:t xml:space="preserve">45 Liteyny Avenue, Saint Petersburg, 191011, Russia</w:t>
            </w:r>
          </w:p>
        </w:tc>
      </w:tr>
      <w:tr>
        <w:tc>
          <w:tcPr/>
          <w:p>
            <w:pPr>
              <w:pStyle w:val="Compact"/>
              <w:jc w:val="left"/>
            </w:pPr>
            <w:r>
              <w:t xml:space="preserve">Contact Person</w:t>
            </w:r>
          </w:p>
        </w:tc>
        <w:tc>
          <w:tcPr/>
          <w:p>
            <w:pPr>
              <w:pStyle w:val="Compact"/>
              <w:jc w:val="left"/>
            </w:pPr>
            <w:r>
              <w:t xml:space="preserve">Mikhail A. Petrov, Account Manager</w:t>
            </w:r>
          </w:p>
        </w:tc>
      </w:tr>
      <w:tr>
        <w:tc>
          <w:tcPr/>
          <w:p>
            <w:pPr>
              <w:pStyle w:val="Compact"/>
              <w:jc w:val="left"/>
            </w:pPr>
            <w:r>
              <w:t xml:space="preserve">Telephone</w:t>
            </w:r>
          </w:p>
        </w:tc>
        <w:tc>
          <w:tcPr/>
          <w:p>
            <w:pPr>
              <w:pStyle w:val="Compact"/>
              <w:jc w:val="left"/>
            </w:pPr>
            <w:r>
              <w:t xml:space="preserve">+7 (812) 333-8821</w:t>
            </w:r>
          </w:p>
        </w:tc>
      </w:tr>
      <w:tr>
        <w:tc>
          <w:tcPr/>
          <w:p>
            <w:pPr>
              <w:pStyle w:val="Compact"/>
              <w:jc w:val="left"/>
            </w:pPr>
            <w:r>
              <w:t xml:space="preserve">Email</w:t>
            </w:r>
          </w:p>
        </w:tc>
        <w:tc>
          <w:tcPr/>
          <w:p>
            <w:pPr>
              <w:pStyle w:val="Compact"/>
              <w:jc w:val="left"/>
            </w:pPr>
            <w:r>
              <w:t xml:space="preserve">contracts@northwind-consulting.ru</w:t>
            </w:r>
          </w:p>
        </w:tc>
      </w:tr>
      <w:tr>
        <w:tc>
          <w:tcPr/>
          <w:p>
            <w:pPr>
              <w:pStyle w:val="Compact"/>
              <w:jc w:val="left"/>
            </w:pPr>
            <w:r>
              <w:t xml:space="preserve">Tax Registration No.</w:t>
            </w:r>
          </w:p>
        </w:tc>
        <w:tc>
          <w:tcPr/>
          <w:p>
            <w:pPr>
              <w:pStyle w:val="Compact"/>
              <w:jc w:val="left"/>
            </w:pPr>
            <w:r>
              <w:t xml:space="preserve">7805987654</w:t>
            </w:r>
          </w:p>
        </w:tc>
      </w:tr>
    </w:tbl>
    <w:p>
      <w:pPr>
        <w:pStyle w:val="BodyText"/>
      </w:pPr>
      <w:r>
        <w:t xml:space="preserve">3. Scope of Procurement – Librarian Services and Materials</w:t>
      </w:r>
    </w:p>
    <w:p>
      <w:pPr>
        <w:pStyle w:val="BodyText"/>
      </w:pPr>
      <w:r>
        <w:t xml:space="preserve">This Purchase Order is issued by the Saint Petersburg Municipal Library Authority to procure the professional services of a qualified</w:t>
      </w:r>
      <w:r>
        <w:t xml:space="preserve"> </w:t>
      </w:r>
      <w:r>
        <w:t xml:space="preserve">Librarian</w:t>
      </w:r>
      <w:r>
        <w:t xml:space="preserve"> </w:t>
      </w:r>
      <w:r>
        <w:t xml:space="preserve">along with associated operational materials, digital infrastructure, and training resources. The engagement is specifically tailored to support the expanding collection management, patron services, and archival digitization programs of the public library network operating within</w:t>
      </w:r>
      <w:r>
        <w:t xml:space="preserve"> </w:t>
      </w:r>
      <w:r>
        <w:t xml:space="preserve">Russia Saint Petersburg</w:t>
      </w:r>
      <w:r>
        <w:t xml:space="preserve">. The selected Librarian shall be responsible for cataloging, reference services, interlibrary loan coordination, and community outreach programs across all district branches.</w:t>
      </w:r>
    </w:p>
    <w:p>
      <w:pPr>
        <w:pStyle w:val="BodyText"/>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Senior Librarian – Full-time professional engagement (12-month contract) including cataloging, reference desk operations, and collection development for the Russia Saint Petersburg central branch</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1,440,000</w:t>
            </w:r>
          </w:p>
        </w:tc>
        <w:tc>
          <w:tcPr/>
          <w:p>
            <w:pPr>
              <w:pStyle w:val="Compact"/>
              <w:jc w:val="left"/>
            </w:pPr>
            <w:r>
              <w:t xml:space="preserve">1,440,000</w:t>
            </w:r>
          </w:p>
        </w:tc>
      </w:tr>
      <w:tr>
        <w:tc>
          <w:tcPr/>
          <w:p>
            <w:pPr>
              <w:pStyle w:val="Compact"/>
              <w:jc w:val="left"/>
            </w:pPr>
            <w:r>
              <w:t xml:space="preserve">02</w:t>
            </w:r>
          </w:p>
        </w:tc>
        <w:tc>
          <w:tcPr/>
          <w:p>
            <w:pPr>
              <w:pStyle w:val="Compact"/>
              <w:jc w:val="left"/>
            </w:pPr>
            <w:r>
              <w:t xml:space="preserve">Associate Librarian – Part-time support for evening and weekend patron services at three district branches in Saint Petersburg</w:t>
            </w:r>
          </w:p>
        </w:tc>
        <w:tc>
          <w:tcPr/>
          <w:p>
            <w:pPr>
              <w:pStyle w:val="Compact"/>
              <w:jc w:val="left"/>
            </w:pPr>
            <w:r>
              <w:t xml:space="preserve">2</w:t>
            </w:r>
          </w:p>
        </w:tc>
        <w:tc>
          <w:tcPr/>
          <w:p>
            <w:pPr>
              <w:pStyle w:val="Compact"/>
              <w:jc w:val="left"/>
            </w:pPr>
            <w:r>
              <w:t xml:space="preserve">Positions</w:t>
            </w:r>
          </w:p>
        </w:tc>
        <w:tc>
          <w:tcPr/>
          <w:p>
            <w:pPr>
              <w:pStyle w:val="Compact"/>
              <w:jc w:val="left"/>
            </w:pPr>
            <w:r>
              <w:t xml:space="preserve">720,000</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Librarian professional development and certification training (ALIA-equivalent Russian certification program, 40-hour curriculum)</w:t>
            </w:r>
          </w:p>
        </w:tc>
        <w:tc>
          <w:tcPr/>
          <w:p>
            <w:pPr>
              <w:pStyle w:val="Compact"/>
              <w:jc w:val="left"/>
            </w:pPr>
            <w:r>
              <w:t xml:space="preserve">3</w:t>
            </w:r>
          </w:p>
        </w:tc>
        <w:tc>
          <w:tcPr/>
          <w:p>
            <w:pPr>
              <w:pStyle w:val="Compact"/>
              <w:jc w:val="left"/>
            </w:pPr>
            <w:r>
              <w:t xml:space="preserve">Certificates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04</w:t>
            </w:r>
          </w:p>
        </w:tc>
        <w:tc>
          <w:tcPr/>
          <w:p>
            <w:pPr>
              <w:pStyle w:val="Compact"/>
              <w:jc w:val="left"/>
            </w:pPr>
            <w:r>
              <w:t xml:space="preserve">Digital cataloging workstation (dual-monitor setup, barcode scanner, RFID reader, ergonomic chair) for Librarian use</w:t>
            </w:r>
          </w:p>
        </w:tc>
        <w:tc>
          <w:tcPr/>
          <w:p>
            <w:pPr>
              <w:pStyle w:val="Compact"/>
              <w:jc w:val="left"/>
            </w:pPr>
            <w:r>
              <w:t xml:space="preserve">3</w:t>
            </w:r>
          </w:p>
        </w:tc>
        <w:tc>
          <w:tcPr/>
          <w:p>
            <w:pPr>
              <w:pStyle w:val="Compact"/>
              <w:jc w:val="left"/>
            </w:pPr>
            <w:r>
              <w:t xml:space="preserve">Sets</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05</w:t>
            </w:r>
          </w:p>
        </w:tc>
        <w:tc>
          <w:tcPr/>
          <w:p>
            <w:pPr>
              <w:pStyle w:val="Compact"/>
              <w:jc w:val="left"/>
            </w:pPr>
            <w:r>
              <w:t xml:space="preserve">Annual subscription to professional Librarian journals, databases, and the Russian National Library digital archive access</w:t>
            </w:r>
          </w:p>
        </w:tc>
        <w:tc>
          <w:tcPr/>
          <w:p>
            <w:pPr>
              <w:pStyle w:val="Compact"/>
              <w:jc w:val="left"/>
            </w:pPr>
            <w:r>
              <w:t xml:space="preserve">1</w:t>
            </w:r>
          </w:p>
        </w:tc>
        <w:tc>
          <w:tcPr/>
          <w:p>
            <w:pPr>
              <w:pStyle w:val="Compact"/>
              <w:jc w:val="left"/>
            </w:pPr>
            <w:r>
              <w:t xml:space="preserve">Year</w:t>
            </w:r>
          </w:p>
        </w:tc>
        <w:tc>
          <w:tcPr/>
          <w:p>
            <w:pPr>
              <w:pStyle w:val="Compact"/>
              <w:jc w:val="left"/>
            </w:pPr>
            <w:r>
              <w:t xml:space="preserve">96,000</w:t>
            </w:r>
          </w:p>
        </w:tc>
        <w:tc>
          <w:tcPr/>
          <w:p>
            <w:pPr>
              <w:pStyle w:val="Compact"/>
              <w:jc w:val="left"/>
            </w:pPr>
            <w:r>
              <w:t xml:space="preserve">96,000</w:t>
            </w:r>
          </w:p>
        </w:tc>
      </w:tr>
      <w:tr>
        <w:tc>
          <w:tcPr/>
          <w:p>
            <w:pPr>
              <w:pStyle w:val="Compact"/>
              <w:jc w:val="left"/>
            </w:pPr>
            <w:r>
              <w:t xml:space="preserve">06</w:t>
            </w:r>
          </w:p>
        </w:tc>
        <w:tc>
          <w:tcPr/>
          <w:p>
            <w:pPr>
              <w:pStyle w:val="Compact"/>
              <w:jc w:val="left"/>
            </w:pPr>
            <w:r>
              <w:t xml:space="preserve">Archival digitization equipment (high-resolution document scanner, color-calibrated display, archival storage media) for the Librarian-led digitization project</w:t>
            </w:r>
          </w:p>
        </w:tc>
        <w:tc>
          <w:tcPr/>
          <w:p>
            <w:pPr>
              <w:pStyle w:val="Compact"/>
              <w:jc w:val="left"/>
            </w:pPr>
            <w:r>
              <w:t xml:space="preserve">1</w:t>
            </w:r>
          </w:p>
        </w:tc>
        <w:tc>
          <w:tcPr/>
          <w:p>
            <w:pPr>
              <w:pStyle w:val="Compact"/>
              <w:jc w:val="left"/>
            </w:pPr>
            <w:r>
              <w:t xml:space="preserve">Set</w:t>
            </w:r>
          </w:p>
        </w:tc>
        <w:tc>
          <w:tcPr/>
          <w:p>
            <w:pPr>
              <w:pStyle w:val="Compact"/>
              <w:jc w:val="left"/>
            </w:pPr>
            <w:r>
              <w:t xml:space="preserve">310,000</w:t>
            </w:r>
          </w:p>
        </w:tc>
        <w:tc>
          <w:tcPr/>
          <w:p>
            <w:pPr>
              <w:pStyle w:val="Compact"/>
              <w:jc w:val="left"/>
            </w:pPr>
            <w:r>
              <w:t xml:space="preserve">310,000</w:t>
            </w:r>
          </w:p>
        </w:tc>
      </w:tr>
      <w:tr>
        <w:tc>
          <w:tcPr/>
          <w:p>
            <w:pPr>
              <w:pStyle w:val="Compact"/>
              <w:jc w:val="left"/>
            </w:pPr>
            <w:r>
              <w:t xml:space="preserve">07</w:t>
            </w:r>
          </w:p>
        </w:tc>
        <w:tc>
          <w:tcPr/>
          <w:p>
            <w:pPr>
              <w:pStyle w:val="Compact"/>
              <w:jc w:val="left"/>
            </w:pPr>
            <w:r>
              <w:t xml:space="preserve">Community outreach program materials (workshop kits, bilingual Russian-English signage, promotional materials) for Librarian-led public events in Saint Petersburg</w:t>
            </w:r>
          </w:p>
        </w:tc>
        <w:tc>
          <w:tcPr/>
          <w:p>
            <w:pPr>
              <w:pStyle w:val="Compact"/>
              <w:jc w:val="left"/>
            </w:pPr>
            <w:r>
              <w:t xml:space="preserve">1</w:t>
            </w:r>
          </w:p>
        </w:tc>
        <w:tc>
          <w:tcPr/>
          <w:p>
            <w:pPr>
              <w:pStyle w:val="Compact"/>
              <w:jc w:val="left"/>
            </w:pPr>
            <w:r>
              <w:t xml:space="preserve">Lot</w:t>
            </w:r>
          </w:p>
        </w:tc>
        <w:tc>
          <w:tcPr/>
          <w:p>
            <w:pPr>
              <w:pStyle w:val="Compact"/>
              <w:jc w:val="left"/>
            </w:pPr>
            <w:r>
              <w:t xml:space="preserve">78,000</w:t>
            </w:r>
          </w:p>
        </w:tc>
        <w:tc>
          <w:tcPr/>
          <w:p>
            <w:pPr>
              <w:pStyle w:val="Compact"/>
              <w:jc w:val="left"/>
            </w:pPr>
            <w:r>
              <w:t xml:space="preserve">78,000</w:t>
            </w:r>
          </w:p>
        </w:tc>
      </w:tr>
      <w:tr>
        <w:tc>
          <w:tcPr>
            <w:gridSpan w:val="5"/>
          </w:tcPr>
          <w:p>
            <w:pPr>
              <w:pStyle w:val="Compact"/>
              <w:jc w:val="right"/>
            </w:pPr>
            <w:r>
              <w:t xml:space="preserve">SUBTOTAL</w:t>
            </w:r>
          </w:p>
        </w:tc>
        <w:tc>
          <w:tcPr/>
          <w:p>
            <w:pPr>
              <w:pStyle w:val="Compact"/>
              <w:jc w:val="left"/>
            </w:pPr>
            <w:r>
              <w:t xml:space="preserve">4,054,000</w:t>
            </w:r>
          </w:p>
        </w:tc>
      </w:tr>
      <w:tr>
        <w:tc>
          <w:tcPr>
            <w:gridSpan w:val="5"/>
          </w:tcPr>
          <w:p>
            <w:pPr>
              <w:pStyle w:val="Compact"/>
              <w:jc w:val="right"/>
            </w:pPr>
            <w:r>
              <w:t xml:space="preserve">VAT (20%)</w:t>
            </w:r>
          </w:p>
        </w:tc>
        <w:tc>
          <w:tcPr/>
          <w:p>
            <w:pPr>
              <w:pStyle w:val="Compact"/>
              <w:jc w:val="left"/>
            </w:pPr>
            <w:r>
              <w:t xml:space="preserve">810,800</w:t>
            </w:r>
          </w:p>
        </w:tc>
      </w:tr>
      <w:tr>
        <w:tc>
          <w:tcPr>
            <w:gridSpan w:val="5"/>
          </w:tcPr>
          <w:p>
            <w:pPr>
              <w:pStyle w:val="Compact"/>
              <w:jc w:val="right"/>
            </w:pPr>
            <w:r>
              <w:t xml:space="preserve">GRAND TOTAL</w:t>
            </w:r>
          </w:p>
        </w:tc>
        <w:tc>
          <w:tcPr/>
          <w:p>
            <w:pPr>
              <w:pStyle w:val="Compact"/>
              <w:jc w:val="left"/>
            </w:pPr>
            <w:r>
              <w:t xml:space="preserve">4,864,800</w:t>
            </w:r>
          </w:p>
        </w:tc>
      </w:tr>
    </w:tbl>
    <w:p>
      <w:pPr>
        <w:pStyle w:val="BodyText"/>
      </w:pPr>
      <w:r>
        <w:t xml:space="preserve">5. Delivery and Commencement</w:t>
      </w:r>
    </w:p>
    <w:p>
      <w:pPr>
        <w:pStyle w:val="BodyText"/>
      </w:pPr>
      <w:r>
        <w:t xml:space="preserve">All personnel engagements under this Purchase Order shall commence no later than 1 August 2025. Physical equipment and materials shall be delivered to the central library premises at 12 Nevsky Prospekt, Russia Saint Petersburg, within 15 business days of the Purchase Order acceptance date. The Librarian positions require a minimum of five (5) years of professional experience in library science, with demonstrated proficiency in Russian-language cataloging standards (GOST R 7.0.5) and familiarity with the digital infrastructure of the Saint Petersburg municipal library network.</w:t>
      </w:r>
    </w:p>
    <w:p>
      <w:pPr>
        <w:pStyle w:val="BodyText"/>
      </w:pPr>
      <w:r>
        <w:t xml:space="preserve">6. Terms and Conditions</w:t>
      </w:r>
    </w:p>
    <w:p>
      <w:pPr>
        <w:numPr>
          <w:ilvl w:val="0"/>
          <w:numId w:val="1001"/>
        </w:numPr>
        <w:pStyle w:val="Compact"/>
      </w:pPr>
      <w:r>
        <w:t xml:space="preserve">This Purchase Order constitutes a binding agreement between the Saint Petersburg Municipal Library Authority and Northwind Library Consulting &amp; Staffing LLP upon written acceptance by both parties.</w:t>
      </w:r>
    </w:p>
    <w:p>
      <w:pPr>
        <w:numPr>
          <w:ilvl w:val="0"/>
          <w:numId w:val="1001"/>
        </w:numPr>
        <w:pStyle w:val="Compact"/>
      </w:pPr>
      <w:r>
        <w:t xml:space="preserve">The Librarian(s) engaged under this Purchase Order shall comply with all labor regulations of the Russian Federation, including but not limited to the Federal Labor Code and local Saint Petersburg municipal employment ordinances.</w:t>
      </w:r>
    </w:p>
    <w:p>
      <w:pPr>
        <w:numPr>
          <w:ilvl w:val="0"/>
          <w:numId w:val="1001"/>
        </w:numPr>
        <w:pStyle w:val="Compact"/>
      </w:pPr>
      <w:r>
        <w:t xml:space="preserve">Payment shall be processed via bank transfer to the supplier's designated account within thirty (30) calendar days of receipt of a valid invoice and confirmation of service delivery.</w:t>
      </w:r>
    </w:p>
    <w:p>
      <w:pPr>
        <w:numPr>
          <w:ilvl w:val="0"/>
          <w:numId w:val="1001"/>
        </w:numPr>
        <w:pStyle w:val="Compact"/>
      </w:pPr>
      <w:r>
        <w:t xml:space="preserve">The supplier warrants that the Librarian candidates presented for this Purchase Order hold valid professional credentials recognized by the Russian Ministry of Education and Science.</w:t>
      </w:r>
    </w:p>
    <w:p>
      <w:pPr>
        <w:numPr>
          <w:ilvl w:val="0"/>
          <w:numId w:val="1001"/>
        </w:numPr>
        <w:pStyle w:val="Compact"/>
      </w:pPr>
      <w:r>
        <w:t xml:space="preserve">Any modifications to the scope, quantity, or timeline of this Purchase Order must be documented in a written amendment signed by both parties. Verbal agreements are not binding.</w:t>
      </w:r>
    </w:p>
    <w:p>
      <w:pPr>
        <w:numPr>
          <w:ilvl w:val="0"/>
          <w:numId w:val="1001"/>
        </w:numPr>
        <w:pStyle w:val="Compact"/>
      </w:pPr>
      <w:r>
        <w:t xml:space="preserve">The supplier shall maintain professional liability insurance with a minimum coverage of 5,000,000 RUB for the duration of the Librarian engagement.</w:t>
      </w:r>
    </w:p>
    <w:p>
      <w:pPr>
        <w:numPr>
          <w:ilvl w:val="0"/>
          <w:numId w:val="1001"/>
        </w:numPr>
        <w:pStyle w:val="Compact"/>
      </w:pPr>
      <w:r>
        <w:t xml:space="preserve">All intellectual property created by the Librarian in the course of duties (including catalog entries, research summaries, and digitized archival materials) shall remain the exclusive property of the Saint Petersburg Municipal Library Authority.</w:t>
      </w:r>
    </w:p>
    <w:p>
      <w:pPr>
        <w:numPr>
          <w:ilvl w:val="0"/>
          <w:numId w:val="1001"/>
        </w:numPr>
        <w:pStyle w:val="Compact"/>
      </w:pPr>
      <w:r>
        <w:t xml:space="preserve">Disputes arising from this Purchase Order shall be resolved through arbitration in Saint Petersburg, Russia, in accordance with the rules of the Arbitration Court of the City of Saint Petersburg and Leningrad Region.</w:t>
      </w:r>
    </w:p>
    <w:p>
      <w:pPr>
        <w:numPr>
          <w:ilvl w:val="0"/>
          <w:numId w:val="1001"/>
        </w:numPr>
        <w:pStyle w:val="Compact"/>
      </w:pPr>
      <w:r>
        <w:t xml:space="preserve">This Purchase Order is governed by the civil law of the Russian Federation. Any references to international library standards (IFLA, ISO 2709) are incorporated as best-practice guidelines only.</w:t>
      </w:r>
    </w:p>
    <w:p>
      <w:pPr>
        <w:numPr>
          <w:ilvl w:val="0"/>
          <w:numId w:val="1001"/>
        </w:numPr>
        <w:pStyle w:val="Compact"/>
      </w:pPr>
      <w:r>
        <w:t xml:space="preserve">The supplier shall provide a monthly progress report detailing the Librarian's activities, patron service metrics, and collection development updates to the Director of Procurement.</w:t>
      </w:r>
    </w:p>
    <w:p>
      <w:pPr>
        <w:pStyle w:val="FirstParagraph"/>
      </w:pPr>
      <w:r>
        <w:t xml:space="preserve">7. Acceptance and Authorization</w:t>
      </w:r>
    </w:p>
    <w:p>
      <w:pPr>
        <w:pStyle w:val="BodyText"/>
      </w:pPr>
      <w:r>
        <w:t xml:space="preserve">By signing below, both parties acknowledge that this Purchase Order for Librarian services and associated materials in Russia Saint Petersburg has been reviewed, understood, and accepted in full. This document supersedes all prior quotations, proposals, and correspondence between the parties regarding the subject matter herein.</w:t>
      </w:r>
    </w:p>
    <w:p>
      <w:pPr>
        <w:pStyle w:val="BodyText"/>
      </w:pPr>
      <w:r>
        <w:rPr>
          <w:bCs/>
          <w:b/>
        </w:rPr>
        <w:t xml:space="preserve">For the Purchasing Entity:</w:t>
      </w:r>
    </w:p>
    <w:p>
      <w:pPr>
        <w:pStyle w:val="BodyText"/>
      </w:pPr>
      <w:r>
        <w:t xml:space="preserve">Saint Petersburg Municipal Library Authority</w:t>
      </w:r>
    </w:p>
    <w:p>
      <w:pPr>
        <w:pStyle w:val="BodyText"/>
      </w:pPr>
      <w:r>
        <w:t xml:space="preserve">Dr. Elena V. Sokolova</w:t>
      </w:r>
      <w:r>
        <w:br/>
      </w:r>
      <w:r>
        <w:t xml:space="preserve">Director of Procurement</w:t>
      </w:r>
      <w:r>
        <w:br/>
      </w:r>
      <w:r>
        <w:t xml:space="preserve">Date: _______________</w:t>
      </w:r>
    </w:p>
    <w:p>
      <w:pPr>
        <w:pStyle w:val="BodyText"/>
      </w:pPr>
      <w:r>
        <w:rPr>
          <w:bCs/>
          <w:b/>
        </w:rPr>
        <w:t xml:space="preserve">For the Supplier:</w:t>
      </w:r>
    </w:p>
    <w:p>
      <w:pPr>
        <w:pStyle w:val="BodyText"/>
      </w:pPr>
      <w:r>
        <w:t xml:space="preserve">Northwind Library Consulting &amp; Staffing LLP</w:t>
      </w:r>
    </w:p>
    <w:p>
      <w:pPr>
        <w:pStyle w:val="BodyText"/>
      </w:pPr>
      <w:r>
        <w:t xml:space="preserve">Mikhail A. Petrov</w:t>
      </w:r>
      <w:r>
        <w:br/>
      </w:r>
      <w:r>
        <w:t xml:space="preserve">Account Manager</w:t>
      </w:r>
      <w:r>
        <w:br/>
      </w:r>
      <w:r>
        <w:t xml:space="preserve">Date: _______________</w:t>
      </w:r>
    </w:p>
    <w:p>
      <w:pPr>
        <w:pStyle w:val="BodyText"/>
      </w:pPr>
      <w:r>
        <w:t xml:space="preserve">Purchase Order PO-RSP-2025-04871 | Issued by the Saint Petersburg Municipal Library Authority, Russia Saint Petersburg</w:t>
      </w:r>
    </w:p>
    <w:p>
      <w:pPr>
        <w:pStyle w:val="BodyText"/>
      </w:pPr>
      <w:r>
        <w:t xml:space="preserve">This document is valid for 90 days from the date of issue. Unauthorized reproduction or distribution is prohibited.</w:t>
      </w:r>
    </w:p>
    <w:p>
      <w:pPr>
        <w:pStyle w:val="BodyText"/>
      </w:pPr>
      <w:r>
        <w:t xml:space="preserve">Document Reference: SPM-LIB-2025-PO-04871 | Classification: Internal –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Russia Saint Petersburg</dc:title>
  <dc:creator/>
  <dc:language>en</dc:language>
  <cp:keywords/>
  <dcterms:created xsi:type="dcterms:W3CDTF">2026-10-10T08:09:06Z</dcterms:created>
  <dcterms:modified xsi:type="dcterms:W3CDTF">2026-10-10T08:09:06Z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