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Librarian</w:t>
      </w:r>
      <w:r>
        <w:t xml:space="preserve"> </w:t>
      </w:r>
      <w:r>
        <w:t xml:space="preserve">Services</w:t>
      </w:r>
      <w:r>
        <w:t xml:space="preserve"> </w:t>
      </w:r>
      <w:r>
        <w:t xml:space="preserve">-</w:t>
      </w:r>
      <w:r>
        <w:t xml:space="preserve"> </w:t>
      </w:r>
      <w:r>
        <w:t xml:space="preserve">Barcelona,</w:t>
      </w:r>
      <w:r>
        <w:t xml:space="preserve"> </w:t>
      </w:r>
      <w:r>
        <w:t xml:space="preserve">Spain</w:t>
      </w:r>
    </w:p>
    <w:bookmarkStart w:id="20" w:name="purchase-order"/>
    <w:p>
      <w:pPr>
        <w:pStyle w:val="Heading1"/>
      </w:pPr>
      <w:r>
        <w:t xml:space="preserve">PURCHASE ORDER</w:t>
      </w:r>
    </w:p>
    <w:p>
      <w:pPr>
        <w:pStyle w:val="FirstParagraph"/>
      </w:pPr>
      <w:r>
        <w:rPr>
          <w:bCs/>
          <w:b/>
        </w:rPr>
        <w:t xml:space="preserve">Librarian Professional Services &amp; Academic Resources Procurement</w:t>
      </w:r>
    </w:p>
    <w:p>
      <w:pPr>
        <w:pStyle w:val="BodyText"/>
      </w:pPr>
      <w:r>
        <w:t xml:space="preserve">Issued in Barcelona, Spain — Principality of Catalonia, Kingdom of Spain</w:t>
      </w:r>
    </w:p>
    <w:p>
      <w:pPr>
        <w:pStyle w:val="BodyText"/>
      </w:pPr>
      <w:r>
        <w:t xml:space="preserve">PO No. ES-BCN-LIB-2025-04782</w:t>
      </w:r>
    </w:p>
    <w:bookmarkEnd w:id="20"/>
    <w:bookmarkStart w:id="21" w:name="purchase-order-details"/>
    <w:p>
      <w:pPr>
        <w:pStyle w:val="Heading2"/>
      </w:pPr>
      <w:r>
        <w:t xml:space="preserve">1. Purchase Order Details</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Information</w:t>
            </w:r>
          </w:p>
        </w:tc>
      </w:tr>
      <w:tr>
        <w:tc>
          <w:tcPr/>
          <w:p>
            <w:pPr>
              <w:pStyle w:val="Compact"/>
              <w:jc w:val="left"/>
            </w:pPr>
            <w:r>
              <w:t xml:space="preserve">Purchase Order Number</w:t>
            </w:r>
          </w:p>
        </w:tc>
        <w:tc>
          <w:tcPr/>
          <w:p>
            <w:pPr>
              <w:pStyle w:val="Compact"/>
              <w:jc w:val="left"/>
            </w:pPr>
            <w:r>
              <w:t xml:space="preserve">ES-BCN-LIB-2025-04782</w:t>
            </w:r>
          </w:p>
        </w:tc>
      </w:tr>
      <w:tr>
        <w:tc>
          <w:tcPr/>
          <w:p>
            <w:pPr>
              <w:pStyle w:val="Compact"/>
              <w:jc w:val="left"/>
            </w:pPr>
            <w:r>
              <w:t xml:space="preserve">Date of Issue</w:t>
            </w:r>
          </w:p>
        </w:tc>
        <w:tc>
          <w:tcPr/>
          <w:p>
            <w:pPr>
              <w:pStyle w:val="Compact"/>
              <w:jc w:val="left"/>
            </w:pPr>
            <w:r>
              <w:t xml:space="preserve">14 June 2025</w:t>
            </w:r>
          </w:p>
        </w:tc>
      </w:tr>
      <w:tr>
        <w:tc>
          <w:tcPr/>
          <w:p>
            <w:pPr>
              <w:pStyle w:val="Compact"/>
              <w:jc w:val="left"/>
            </w:pPr>
            <w:r>
              <w:t xml:space="preserve">Required Delivery Date</w:t>
            </w:r>
          </w:p>
        </w:tc>
        <w:tc>
          <w:tcPr/>
          <w:p>
            <w:pPr>
              <w:pStyle w:val="Compact"/>
              <w:jc w:val="left"/>
            </w:pPr>
            <w:r>
              <w:t xml:space="preserve">01 September 2025</w:t>
            </w:r>
          </w:p>
        </w:tc>
      </w:tr>
      <w:tr>
        <w:tc>
          <w:tcPr/>
          <w:p>
            <w:pPr>
              <w:pStyle w:val="Compact"/>
              <w:jc w:val="left"/>
            </w:pPr>
            <w:r>
              <w:t xml:space="preserve">Currency</w:t>
            </w:r>
          </w:p>
        </w:tc>
        <w:tc>
          <w:tcPr/>
          <w:p>
            <w:pPr>
              <w:pStyle w:val="Compact"/>
              <w:jc w:val="left"/>
            </w:pPr>
            <w:r>
              <w:t xml:space="preserve">Euro (EUR) — Official currency of Spain</w:t>
            </w:r>
          </w:p>
        </w:tc>
      </w:tr>
      <w:tr>
        <w:tc>
          <w:tcPr/>
          <w:p>
            <w:pPr>
              <w:pStyle w:val="Compact"/>
              <w:jc w:val="left"/>
            </w:pPr>
            <w:r>
              <w:t xml:space="preserve">Place of Performance</w:t>
            </w:r>
          </w:p>
        </w:tc>
        <w:tc>
          <w:tcPr/>
          <w:p>
            <w:pPr>
              <w:pStyle w:val="Compact"/>
              <w:jc w:val="left"/>
            </w:pPr>
            <w:r>
              <w:t xml:space="preserve">Barcelona, Spain — Passeig de Gràcia, 120, 08008 Barcelona, Catalonia</w:t>
            </w:r>
          </w:p>
        </w:tc>
      </w:tr>
      <w:tr>
        <w:tc>
          <w:tcPr/>
          <w:p>
            <w:pPr>
              <w:pStyle w:val="Compact"/>
              <w:jc w:val="left"/>
            </w:pPr>
            <w:r>
              <w:t xml:space="preserve">Governing Jurisdiction</w:t>
            </w:r>
          </w:p>
        </w:tc>
        <w:tc>
          <w:tcPr/>
          <w:p>
            <w:pPr>
              <w:pStyle w:val="Compact"/>
              <w:jc w:val="left"/>
            </w:pPr>
            <w:r>
              <w:t xml:space="preserve">Kingdom of Spain — Barcelona Provincial Court</w:t>
            </w:r>
          </w:p>
        </w:tc>
      </w:tr>
    </w:tbl>
    <w:bookmarkEnd w:id="21"/>
    <w:bookmarkStart w:id="22" w:name="purchasing-entity-buyer"/>
    <w:p>
      <w:pPr>
        <w:pStyle w:val="Heading2"/>
      </w:pPr>
      <w:r>
        <w:t xml:space="preserve">2. Purchasing Entity (Buyer)</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Information</w:t>
            </w:r>
          </w:p>
        </w:tc>
      </w:tr>
      <w:tr>
        <w:tc>
          <w:tcPr/>
          <w:p>
            <w:pPr>
              <w:pStyle w:val="Compact"/>
              <w:jc w:val="left"/>
            </w:pPr>
            <w:r>
              <w:t xml:space="preserve">Organization Name</w:t>
            </w:r>
          </w:p>
        </w:tc>
        <w:tc>
          <w:tcPr/>
          <w:p>
            <w:pPr>
              <w:pStyle w:val="Compact"/>
              <w:jc w:val="left"/>
            </w:pPr>
            <w:r>
              <w:t xml:space="preserve">Biblioteca de Barcelona — Municipal Library Authority</w:t>
            </w:r>
          </w:p>
        </w:tc>
      </w:tr>
      <w:tr>
        <w:tc>
          <w:tcPr/>
          <w:p>
            <w:pPr>
              <w:pStyle w:val="Compact"/>
              <w:jc w:val="left"/>
            </w:pPr>
            <w:r>
              <w:t xml:space="preserve">Address</w:t>
            </w:r>
          </w:p>
        </w:tc>
        <w:tc>
          <w:tcPr/>
          <w:p>
            <w:pPr>
              <w:pStyle w:val="Compact"/>
              <w:jc w:val="left"/>
            </w:pPr>
            <w:r>
              <w:t xml:space="preserve">Carrer de l'Escola, 45, 08001 Barcelona, Spain</w:t>
            </w:r>
          </w:p>
        </w:tc>
      </w:tr>
      <w:tr>
        <w:tc>
          <w:tcPr/>
          <w:p>
            <w:pPr>
              <w:pStyle w:val="Compact"/>
              <w:jc w:val="left"/>
            </w:pPr>
            <w:r>
              <w:t xml:space="preserve">VAT Number (NIF)</w:t>
            </w:r>
          </w:p>
        </w:tc>
        <w:tc>
          <w:tcPr/>
          <w:p>
            <w:pPr>
              <w:pStyle w:val="Compact"/>
              <w:jc w:val="left"/>
            </w:pPr>
            <w:r>
              <w:t xml:space="preserve">P-08001234-A</w:t>
            </w:r>
          </w:p>
        </w:tc>
      </w:tr>
      <w:tr>
        <w:tc>
          <w:tcPr/>
          <w:p>
            <w:pPr>
              <w:pStyle w:val="Compact"/>
              <w:jc w:val="left"/>
            </w:pPr>
            <w:r>
              <w:t xml:space="preserve">Contact Person</w:t>
            </w:r>
          </w:p>
        </w:tc>
        <w:tc>
          <w:tcPr/>
          <w:p>
            <w:pPr>
              <w:pStyle w:val="Compact"/>
              <w:jc w:val="left"/>
            </w:pPr>
            <w:r>
              <w:t xml:space="preserve">Sra. Montserrat Vidal, Director of Procurement</w:t>
            </w:r>
          </w:p>
        </w:tc>
      </w:tr>
      <w:tr>
        <w:tc>
          <w:tcPr/>
          <w:p>
            <w:pPr>
              <w:pStyle w:val="Compact"/>
              <w:jc w:val="left"/>
            </w:pPr>
            <w:r>
              <w:t xml:space="preserve">Email</w:t>
            </w:r>
          </w:p>
        </w:tc>
        <w:tc>
          <w:tcPr/>
          <w:p>
            <w:pPr>
              <w:pStyle w:val="Compact"/>
              <w:jc w:val="left"/>
            </w:pPr>
            <w:r>
              <w:t xml:space="preserve">procurement@bibliotecabcn.es</w:t>
            </w:r>
          </w:p>
        </w:tc>
      </w:tr>
      <w:tr>
        <w:tc>
          <w:tcPr/>
          <w:p>
            <w:pPr>
              <w:pStyle w:val="Compact"/>
              <w:jc w:val="left"/>
            </w:pPr>
            <w:r>
              <w:t xml:space="preserve">Telephone</w:t>
            </w:r>
          </w:p>
        </w:tc>
        <w:tc>
          <w:tcPr/>
          <w:p>
            <w:pPr>
              <w:pStyle w:val="Compact"/>
              <w:jc w:val="left"/>
            </w:pPr>
            <w:r>
              <w:t xml:space="preserve">+34 93 218 4567</w:t>
            </w:r>
          </w:p>
        </w:tc>
      </w:tr>
    </w:tbl>
    <w:bookmarkEnd w:id="22"/>
    <w:bookmarkStart w:id="23" w:name="supplier-vendor-information"/>
    <w:p>
      <w:pPr>
        <w:pStyle w:val="Heading2"/>
      </w:pPr>
      <w:r>
        <w:t xml:space="preserve">3. Supplier / Vendor Information</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Information</w:t>
            </w:r>
          </w:p>
        </w:tc>
      </w:tr>
      <w:tr>
        <w:tc>
          <w:tcPr/>
          <w:p>
            <w:pPr>
              <w:pStyle w:val="Compact"/>
              <w:jc w:val="left"/>
            </w:pPr>
            <w:r>
              <w:t xml:space="preserve">Company Name</w:t>
            </w:r>
          </w:p>
        </w:tc>
        <w:tc>
          <w:tcPr/>
          <w:p>
            <w:pPr>
              <w:pStyle w:val="Compact"/>
              <w:jc w:val="left"/>
            </w:pPr>
            <w:r>
              <w:t xml:space="preserve">Academic Librarian Solutions S.L. (Sociedad Limitada)</w:t>
            </w:r>
          </w:p>
        </w:tc>
      </w:tr>
      <w:tr>
        <w:tc>
          <w:tcPr/>
          <w:p>
            <w:pPr>
              <w:pStyle w:val="Compact"/>
              <w:jc w:val="left"/>
            </w:pPr>
            <w:r>
              <w:t xml:space="preserve">Address</w:t>
            </w:r>
          </w:p>
        </w:tc>
        <w:tc>
          <w:tcPr/>
          <w:p>
            <w:pPr>
              <w:pStyle w:val="Compact"/>
              <w:jc w:val="left"/>
            </w:pPr>
            <w:r>
              <w:t xml:space="preserve">Avinguda Diagonal, 654, 3º 2º, 08028 Barcelona, Spain</w:t>
            </w:r>
          </w:p>
        </w:tc>
      </w:tr>
      <w:tr>
        <w:tc>
          <w:tcPr/>
          <w:p>
            <w:pPr>
              <w:pStyle w:val="Compact"/>
              <w:jc w:val="left"/>
            </w:pPr>
            <w:r>
              <w:t xml:space="preserve">VAT Number (NIF)</w:t>
            </w:r>
          </w:p>
        </w:tc>
        <w:tc>
          <w:tcPr/>
          <w:p>
            <w:pPr>
              <w:pStyle w:val="Compact"/>
              <w:jc w:val="left"/>
            </w:pPr>
            <w:r>
              <w:t xml:space="preserve">B-08123456-K</w:t>
            </w:r>
          </w:p>
        </w:tc>
      </w:tr>
      <w:tr>
        <w:tc>
          <w:tcPr/>
          <w:p>
            <w:pPr>
              <w:pStyle w:val="Compact"/>
              <w:jc w:val="left"/>
            </w:pPr>
            <w:r>
              <w:t xml:space="preserve">Contact Person</w:t>
            </w:r>
          </w:p>
        </w:tc>
        <w:tc>
          <w:tcPr/>
          <w:p>
            <w:pPr>
              <w:pStyle w:val="Compact"/>
              <w:jc w:val="left"/>
            </w:pPr>
            <w:r>
              <w:t xml:space="preserve">Dr. Jordi Ferrer, Managing Director</w:t>
            </w:r>
          </w:p>
        </w:tc>
      </w:tr>
      <w:tr>
        <w:tc>
          <w:tcPr/>
          <w:p>
            <w:pPr>
              <w:pStyle w:val="Compact"/>
              <w:jc w:val="left"/>
            </w:pPr>
            <w:r>
              <w:t xml:space="preserve">Email</w:t>
            </w:r>
          </w:p>
        </w:tc>
        <w:tc>
          <w:tcPr/>
          <w:p>
            <w:pPr>
              <w:pStyle w:val="Compact"/>
              <w:jc w:val="left"/>
            </w:pPr>
            <w:r>
              <w:t xml:space="preserve">info@acadlibsl.com</w:t>
            </w:r>
          </w:p>
        </w:tc>
      </w:tr>
      <w:tr>
        <w:tc>
          <w:tcPr/>
          <w:p>
            <w:pPr>
              <w:pStyle w:val="Compact"/>
              <w:jc w:val="left"/>
            </w:pPr>
            <w:r>
              <w:t xml:space="preserve">Telephone</w:t>
            </w:r>
          </w:p>
        </w:tc>
        <w:tc>
          <w:tcPr/>
          <w:p>
            <w:pPr>
              <w:pStyle w:val="Compact"/>
              <w:jc w:val="left"/>
            </w:pPr>
            <w:r>
              <w:t xml:space="preserve">+34 93 412 7890</w:t>
            </w:r>
          </w:p>
        </w:tc>
      </w:tr>
    </w:tbl>
    <w:bookmarkEnd w:id="23"/>
    <w:bookmarkStart w:id="24" w:name="Xe4ebb78021c8e7cda60de9718a16da5e2a594c8"/>
    <w:p>
      <w:pPr>
        <w:pStyle w:val="Heading2"/>
      </w:pPr>
      <w:r>
        <w:t xml:space="preserve">4. Scope of Purchase — Librarian Services and Resources</w:t>
      </w:r>
    </w:p>
    <w:p>
      <w:pPr>
        <w:pStyle w:val="FirstParagraph"/>
      </w:pPr>
      <w:r>
        <w:t xml:space="preserve">This Purchase Order is issued by the Biblioteca de Barcelona to procure the professional services of a qualified</w:t>
      </w:r>
      <w:r>
        <w:t xml:space="preserve"> </w:t>
      </w:r>
      <w:r>
        <w:t xml:space="preserve">Librarian</w:t>
      </w:r>
      <w:r>
        <w:t xml:space="preserve"> </w:t>
      </w:r>
      <w:r>
        <w:t xml:space="preserve">and associated academic resources for the municipal library network operating in</w:t>
      </w:r>
      <w:r>
        <w:t xml:space="preserve"> </w:t>
      </w:r>
      <w:r>
        <w:t xml:space="preserve">Barcelona, Spain</w:t>
      </w:r>
      <w:r>
        <w:t xml:space="preserve">. The Librarian engaged under this Purchase Order shall be responsible for cataloguing, archiving, digital migration, and public reference services across all municipal library branches in the city of Barcelona. The scope of work is governed by the regulations of the Generalitat de Catalunya and the national library standards established by the Spanish Ministry of Culture and Sport.</w:t>
      </w:r>
    </w:p>
    <w:bookmarkEnd w:id="24"/>
    <w:bookmarkStart w:id="25" w:name="line-items-goods-and-services"/>
    <w:p>
      <w:pPr>
        <w:pStyle w:val="Heading2"/>
      </w:pPr>
      <w:r>
        <w:t xml:space="preserve">5. Line Items — Goods and Services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Qty</w:t>
            </w:r>
          </w:p>
        </w:tc>
        <w:tc>
          <w:tcPr/>
          <w:p>
            <w:pPr>
              <w:pStyle w:val="Compact"/>
              <w:jc w:val="left"/>
            </w:pPr>
            <w:r>
              <w:t xml:space="preserve">Unit</w:t>
            </w:r>
          </w:p>
        </w:tc>
        <w:tc>
          <w:tcPr/>
          <w:p>
            <w:pPr>
              <w:pStyle w:val="Compact"/>
              <w:jc w:val="left"/>
            </w:pPr>
            <w:r>
              <w:t xml:space="preserve">Unit Price (EUR)</w:t>
            </w:r>
          </w:p>
        </w:tc>
        <w:tc>
          <w:tcPr/>
          <w:p>
            <w:pPr>
              <w:pStyle w:val="Compact"/>
              <w:jc w:val="left"/>
            </w:pPr>
            <w:r>
              <w:t xml:space="preserve">Total (EUR)</w:t>
            </w:r>
          </w:p>
        </w:tc>
      </w:tr>
      <w:tr>
        <w:tc>
          <w:tcPr/>
          <w:p>
            <w:pPr>
              <w:pStyle w:val="Compact"/>
              <w:jc w:val="left"/>
            </w:pPr>
            <w:r>
              <w:t xml:space="preserve">1</w:t>
            </w:r>
          </w:p>
        </w:tc>
        <w:tc>
          <w:tcPr/>
          <w:p>
            <w:pPr>
              <w:pStyle w:val="Compact"/>
              <w:jc w:val="left"/>
            </w:pPr>
            <w:r>
              <w:t xml:space="preserve">Senior Librarian Professional Services — Full-time engagement for 12 months, including cataloguing, reference desk management, and collection development for the Barcelona municipal library system</w:t>
            </w:r>
          </w:p>
        </w:tc>
        <w:tc>
          <w:tcPr/>
          <w:p>
            <w:pPr>
              <w:pStyle w:val="Compact"/>
              <w:jc w:val="left"/>
            </w:pPr>
            <w:r>
              <w:t xml:space="preserve">1</w:t>
            </w:r>
          </w:p>
        </w:tc>
        <w:tc>
          <w:tcPr/>
          <w:p>
            <w:pPr>
              <w:pStyle w:val="Compact"/>
              <w:jc w:val="left"/>
            </w:pPr>
            <w:r>
              <w:t xml:space="preserve">Position</w:t>
            </w:r>
          </w:p>
        </w:tc>
        <w:tc>
          <w:tcPr/>
          <w:p>
            <w:pPr>
              <w:pStyle w:val="Compact"/>
              <w:jc w:val="left"/>
            </w:pPr>
            <w:r>
              <w:t xml:space="preserve">48,000.00</w:t>
            </w:r>
          </w:p>
        </w:tc>
        <w:tc>
          <w:tcPr/>
          <w:p>
            <w:pPr>
              <w:pStyle w:val="Compact"/>
              <w:jc w:val="left"/>
            </w:pPr>
            <w:r>
              <w:t xml:space="preserve">48,000.00</w:t>
            </w:r>
          </w:p>
        </w:tc>
      </w:tr>
      <w:tr>
        <w:tc>
          <w:tcPr/>
          <w:p>
            <w:pPr>
              <w:pStyle w:val="Compact"/>
              <w:jc w:val="left"/>
            </w:pPr>
            <w:r>
              <w:t xml:space="preserve">2</w:t>
            </w:r>
          </w:p>
        </w:tc>
        <w:tc>
          <w:tcPr/>
          <w:p>
            <w:pPr>
              <w:pStyle w:val="Compact"/>
              <w:jc w:val="left"/>
            </w:pPr>
            <w:r>
              <w:t xml:space="preserve">Assistant Librarian Professional Services — Part-time engagement (20 hours/week) for 12 months, supporting digital archiving and multilingual reference services in Catalan, Spanish, and English</w:t>
            </w:r>
          </w:p>
        </w:tc>
        <w:tc>
          <w:tcPr/>
          <w:p>
            <w:pPr>
              <w:pStyle w:val="Compact"/>
              <w:jc w:val="left"/>
            </w:pPr>
            <w:r>
              <w:t xml:space="preserve">1</w:t>
            </w:r>
          </w:p>
        </w:tc>
        <w:tc>
          <w:tcPr/>
          <w:p>
            <w:pPr>
              <w:pStyle w:val="Compact"/>
              <w:jc w:val="left"/>
            </w:pPr>
            <w:r>
              <w:t xml:space="preserve">Position</w:t>
            </w:r>
          </w:p>
        </w:tc>
        <w:tc>
          <w:tcPr/>
          <w:p>
            <w:pPr>
              <w:pStyle w:val="Compact"/>
              <w:jc w:val="left"/>
            </w:pPr>
            <w:r>
              <w:t xml:space="preserve">22,500.00</w:t>
            </w:r>
          </w:p>
        </w:tc>
        <w:tc>
          <w:tcPr/>
          <w:p>
            <w:pPr>
              <w:pStyle w:val="Compact"/>
              <w:jc w:val="left"/>
            </w:pPr>
            <w:r>
              <w:t xml:space="preserve">22,500.00</w:t>
            </w:r>
          </w:p>
        </w:tc>
      </w:tr>
      <w:tr>
        <w:tc>
          <w:tcPr/>
          <w:p>
            <w:pPr>
              <w:pStyle w:val="Compact"/>
              <w:jc w:val="left"/>
            </w:pPr>
            <w:r>
              <w:t xml:space="preserve">3</w:t>
            </w:r>
          </w:p>
        </w:tc>
        <w:tc>
          <w:tcPr/>
          <w:p>
            <w:pPr>
              <w:pStyle w:val="Compact"/>
              <w:jc w:val="left"/>
            </w:pPr>
            <w:r>
              <w:t xml:space="preserve">Digital Library Management Software License — Annual subscription for 5 workstations, including ILS (Integrated Library System) compatible with Spanish and Catalan metadata standards</w:t>
            </w:r>
          </w:p>
        </w:tc>
        <w:tc>
          <w:tcPr/>
          <w:p>
            <w:pPr>
              <w:pStyle w:val="Compact"/>
              <w:jc w:val="left"/>
            </w:pPr>
            <w:r>
              <w:t xml:space="preserve">5</w:t>
            </w:r>
          </w:p>
        </w:tc>
        <w:tc>
          <w:tcPr/>
          <w:p>
            <w:pPr>
              <w:pStyle w:val="Compact"/>
              <w:jc w:val="left"/>
            </w:pPr>
            <w:r>
              <w:t xml:space="preserve">Licenses</w:t>
            </w:r>
          </w:p>
        </w:tc>
        <w:tc>
          <w:tcPr/>
          <w:p>
            <w:pPr>
              <w:pStyle w:val="Compact"/>
              <w:jc w:val="left"/>
            </w:pPr>
            <w:r>
              <w:t xml:space="preserve">1,850.00</w:t>
            </w:r>
          </w:p>
        </w:tc>
        <w:tc>
          <w:tcPr/>
          <w:p>
            <w:pPr>
              <w:pStyle w:val="Compact"/>
              <w:jc w:val="left"/>
            </w:pPr>
            <w:r>
              <w:t xml:space="preserve">9,250.00</w:t>
            </w:r>
          </w:p>
        </w:tc>
      </w:tr>
      <w:tr>
        <w:tc>
          <w:tcPr/>
          <w:p>
            <w:pPr>
              <w:pStyle w:val="Compact"/>
              <w:jc w:val="left"/>
            </w:pPr>
            <w:r>
              <w:t xml:space="preserve">4</w:t>
            </w:r>
          </w:p>
        </w:tc>
        <w:tc>
          <w:tcPr/>
          <w:p>
            <w:pPr>
              <w:pStyle w:val="Compact"/>
              <w:jc w:val="left"/>
            </w:pPr>
            <w:r>
              <w:t xml:space="preserve">Academic and Reference Materials — Bulk procurement of 350 volumes for the Barcelona collection, including Catalan literature, Spanish legal texts, and international academic journals</w:t>
            </w:r>
          </w:p>
        </w:tc>
        <w:tc>
          <w:tcPr/>
          <w:p>
            <w:pPr>
              <w:pStyle w:val="Compact"/>
              <w:jc w:val="left"/>
            </w:pPr>
            <w:r>
              <w:t xml:space="preserve">350</w:t>
            </w:r>
          </w:p>
        </w:tc>
        <w:tc>
          <w:tcPr/>
          <w:p>
            <w:pPr>
              <w:pStyle w:val="Compact"/>
              <w:jc w:val="left"/>
            </w:pPr>
            <w:r>
              <w:t xml:space="preserve">Volumes</w:t>
            </w:r>
          </w:p>
        </w:tc>
        <w:tc>
          <w:tcPr/>
          <w:p>
            <w:pPr>
              <w:pStyle w:val="Compact"/>
              <w:jc w:val="left"/>
            </w:pPr>
            <w:r>
              <w:t xml:space="preserve">38.00</w:t>
            </w:r>
          </w:p>
        </w:tc>
        <w:tc>
          <w:tcPr/>
          <w:p>
            <w:pPr>
              <w:pStyle w:val="Compact"/>
              <w:jc w:val="left"/>
            </w:pPr>
            <w:r>
              <w:t xml:space="preserve">13,300.00</w:t>
            </w:r>
          </w:p>
        </w:tc>
      </w:tr>
      <w:tr>
        <w:tc>
          <w:tcPr/>
          <w:p>
            <w:pPr>
              <w:pStyle w:val="Compact"/>
              <w:jc w:val="left"/>
            </w:pPr>
            <w:r>
              <w:t xml:space="preserve">5</w:t>
            </w:r>
          </w:p>
        </w:tc>
        <w:tc>
          <w:tcPr/>
          <w:p>
            <w:pPr>
              <w:pStyle w:val="Compact"/>
              <w:jc w:val="left"/>
            </w:pPr>
            <w:r>
              <w:t xml:space="preserve">Librarian Training &amp; Certification Program — Professional development course in digital preservation and multilingual cataloguing, conducted in Barcelona, Spain</w:t>
            </w:r>
          </w:p>
        </w:tc>
        <w:tc>
          <w:tcPr/>
          <w:p>
            <w:pPr>
              <w:pStyle w:val="Compact"/>
              <w:jc w:val="left"/>
            </w:pPr>
            <w:r>
              <w:t xml:space="preserve">2</w:t>
            </w:r>
          </w:p>
        </w:tc>
        <w:tc>
          <w:tcPr/>
          <w:p>
            <w:pPr>
              <w:pStyle w:val="Compact"/>
              <w:jc w:val="left"/>
            </w:pPr>
            <w:r>
              <w:t xml:space="preserve">Participants</w:t>
            </w:r>
          </w:p>
        </w:tc>
        <w:tc>
          <w:tcPr/>
          <w:p>
            <w:pPr>
              <w:pStyle w:val="Compact"/>
              <w:jc w:val="left"/>
            </w:pPr>
            <w:r>
              <w:t xml:space="preserve">1,200.00</w:t>
            </w:r>
          </w:p>
        </w:tc>
        <w:tc>
          <w:tcPr/>
          <w:p>
            <w:pPr>
              <w:pStyle w:val="Compact"/>
              <w:jc w:val="left"/>
            </w:pPr>
            <w:r>
              <w:t xml:space="preserve">2,400.00</w:t>
            </w:r>
          </w:p>
        </w:tc>
      </w:tr>
      <w:tr>
        <w:tc>
          <w:tcPr/>
          <w:p>
            <w:pPr>
              <w:pStyle w:val="Compact"/>
              <w:jc w:val="left"/>
            </w:pPr>
            <w:r>
              <w:t xml:space="preserve">6</w:t>
            </w:r>
          </w:p>
        </w:tc>
        <w:tc>
          <w:tcPr/>
          <w:p>
            <w:pPr>
              <w:pStyle w:val="Compact"/>
              <w:jc w:val="left"/>
            </w:pPr>
            <w:r>
              <w:t xml:space="preserve">Library Furniture &amp; Equipment — Ergonomic workstations, archival shelving units, and climate-controlled storage cabinets for the Barcelona branch</w:t>
            </w:r>
          </w:p>
        </w:tc>
        <w:tc>
          <w:tcPr/>
          <w:p>
            <w:pPr>
              <w:pStyle w:val="Compact"/>
              <w:jc w:val="left"/>
            </w:pPr>
            <w:r>
              <w:t xml:space="preserve">1</w:t>
            </w:r>
          </w:p>
        </w:tc>
        <w:tc>
          <w:tcPr/>
          <w:p>
            <w:pPr>
              <w:pStyle w:val="Compact"/>
              <w:jc w:val="left"/>
            </w:pPr>
            <w:r>
              <w:t xml:space="preserve">Lot</w:t>
            </w:r>
          </w:p>
        </w:tc>
        <w:tc>
          <w:tcPr/>
          <w:p>
            <w:pPr>
              <w:pStyle w:val="Compact"/>
              <w:jc w:val="left"/>
            </w:pPr>
            <w:r>
              <w:t xml:space="preserve">15,750.00</w:t>
            </w:r>
          </w:p>
        </w:tc>
        <w:tc>
          <w:tcPr/>
          <w:p>
            <w:pPr>
              <w:pStyle w:val="Compact"/>
              <w:jc w:val="left"/>
            </w:pPr>
            <w:r>
              <w:t xml:space="preserve">15,750.00</w:t>
            </w:r>
          </w:p>
        </w:tc>
      </w:tr>
      <w:tr>
        <w:tc>
          <w:tcPr>
            <w:gridSpan w:val="5"/>
          </w:tcPr>
          <w:p>
            <w:pPr>
              <w:pStyle w:val="Compact"/>
              <w:jc w:val="right"/>
            </w:pPr>
            <w:r>
              <w:t xml:space="preserve">Subtotal</w:t>
            </w:r>
          </w:p>
        </w:tc>
        <w:tc>
          <w:tcPr/>
          <w:p>
            <w:pPr>
              <w:pStyle w:val="Compact"/>
              <w:jc w:val="left"/>
            </w:pPr>
            <w:r>
              <w:t xml:space="preserve">111,250.00</w:t>
            </w:r>
          </w:p>
        </w:tc>
      </w:tr>
      <w:tr>
        <w:tc>
          <w:tcPr>
            <w:gridSpan w:val="5"/>
          </w:tcPr>
          <w:p>
            <w:pPr>
              <w:pStyle w:val="Compact"/>
              <w:jc w:val="right"/>
            </w:pPr>
            <w:r>
              <w:t xml:space="preserve">VAT (21% — Spanish Value Added Tax)</w:t>
            </w:r>
          </w:p>
        </w:tc>
        <w:tc>
          <w:tcPr/>
          <w:p>
            <w:pPr>
              <w:pStyle w:val="Compact"/>
              <w:jc w:val="left"/>
            </w:pPr>
            <w:r>
              <w:t xml:space="preserve">23,362.50</w:t>
            </w:r>
          </w:p>
        </w:tc>
      </w:tr>
      <w:tr>
        <w:tc>
          <w:tcPr>
            <w:gridSpan w:val="5"/>
          </w:tcPr>
          <w:p>
            <w:pPr>
              <w:pStyle w:val="Compact"/>
              <w:jc w:val="right"/>
            </w:pPr>
            <w:r>
              <w:t xml:space="preserve">TOTAL AMOUNT DUE (EUR)</w:t>
            </w:r>
          </w:p>
        </w:tc>
        <w:tc>
          <w:tcPr/>
          <w:p>
            <w:pPr>
              <w:pStyle w:val="Compact"/>
              <w:jc w:val="left"/>
            </w:pPr>
            <w:r>
              <w:t xml:space="preserve">134,612.50</w:t>
            </w:r>
          </w:p>
        </w:tc>
      </w:tr>
    </w:tbl>
    <w:bookmarkEnd w:id="25"/>
    <w:bookmarkStart w:id="26" w:name="terms-and-conditions"/>
    <w:p>
      <w:pPr>
        <w:pStyle w:val="Heading2"/>
      </w:pPr>
      <w:r>
        <w:t xml:space="preserve">6. Terms and Conditions</w:t>
      </w:r>
    </w:p>
    <w:p>
      <w:pPr>
        <w:numPr>
          <w:ilvl w:val="0"/>
          <w:numId w:val="1001"/>
        </w:numPr>
        <w:pStyle w:val="Compact"/>
      </w:pPr>
      <w:r>
        <w:rPr>
          <w:bCs/>
          <w:b/>
        </w:rPr>
        <w:t xml:space="preserve">Payment Terms:</w:t>
      </w:r>
      <w:r>
        <w:t xml:space="preserve"> </w:t>
      </w:r>
      <w:r>
        <w:t xml:space="preserve">Payment shall be made within 30 days of receipt of a valid invoice, in accordance with the Spanish Law on Late Payment in Commercial Transactions (Ley 3/2004). Payment shall be processed via bank transfer to the supplier's account in Barcelona, Spain.</w:t>
      </w:r>
    </w:p>
    <w:p>
      <w:pPr>
        <w:numPr>
          <w:ilvl w:val="0"/>
          <w:numId w:val="1001"/>
        </w:numPr>
        <w:pStyle w:val="Compact"/>
      </w:pPr>
      <w:r>
        <w:rPr>
          <w:bCs/>
          <w:b/>
        </w:rPr>
        <w:t xml:space="preserve">Delivery and Performance:</w:t>
      </w:r>
      <w:r>
        <w:t xml:space="preserve"> </w:t>
      </w:r>
      <w:r>
        <w:t xml:space="preserve">All Librarian services shall commence no later than 01 September 2025 at the designated Barcelona municipal library premises. Physical goods (volumes, furniture, equipment) shall be delivered to the address specified in Section 2.</w:t>
      </w:r>
    </w:p>
    <w:p>
      <w:pPr>
        <w:numPr>
          <w:ilvl w:val="0"/>
          <w:numId w:val="1001"/>
        </w:numPr>
        <w:pStyle w:val="Compact"/>
      </w:pPr>
      <w:r>
        <w:rPr>
          <w:bCs/>
          <w:b/>
        </w:rPr>
        <w:t xml:space="preserve">Compliance with Spanish Law:</w:t>
      </w:r>
      <w:r>
        <w:t xml:space="preserve"> </w:t>
      </w:r>
      <w:r>
        <w:t xml:space="preserve">This Purchase Order is governed by the Civil Code of Spain and applicable Catalan regional legislation. The Librarian engaged under this order must hold a valid work permit or residency authorization in Spain and comply with all employment regulations set forth by the Spanish Ministry of Labour and Social Economy.</w:t>
      </w:r>
    </w:p>
    <w:p>
      <w:pPr>
        <w:numPr>
          <w:ilvl w:val="0"/>
          <w:numId w:val="1001"/>
        </w:numPr>
        <w:pStyle w:val="Compact"/>
      </w:pPr>
      <w:r>
        <w:rPr>
          <w:bCs/>
          <w:b/>
        </w:rPr>
        <w:t xml:space="preserve">Quality Standards:</w:t>
      </w:r>
      <w:r>
        <w:t xml:space="preserve"> </w:t>
      </w:r>
      <w:r>
        <w:t xml:space="preserve">The Librarian shall adhere to the RDA (Resource Description and Access) cataloguing standards as adopted by the Spanish National Library (Biblioteca Nacional de España) and the Catalan Library Network (Xarxa de Biblioteques de Catalunya).</w:t>
      </w:r>
    </w:p>
    <w:p>
      <w:pPr>
        <w:numPr>
          <w:ilvl w:val="0"/>
          <w:numId w:val="1001"/>
        </w:numPr>
        <w:pStyle w:val="Compact"/>
      </w:pPr>
      <w:r>
        <w:rPr>
          <w:bCs/>
          <w:b/>
        </w:rPr>
        <w:t xml:space="preserve">Confidentiality:</w:t>
      </w:r>
      <w:r>
        <w:t xml:space="preserve"> </w:t>
      </w:r>
      <w:r>
        <w:t xml:space="preserve">The Librarian and all personnel engaged under this Purchase Order shall maintain strict confidentiality regarding patron records, in compliance with the Spanish Organic Law 3/2018 on Personal Data Protection and the EU General Data Protection Regulation (GDPR).</w:t>
      </w:r>
    </w:p>
    <w:p>
      <w:pPr>
        <w:numPr>
          <w:ilvl w:val="0"/>
          <w:numId w:val="1001"/>
        </w:numPr>
        <w:pStyle w:val="Compact"/>
      </w:pPr>
      <w:r>
        <w:rPr>
          <w:bCs/>
          <w:b/>
        </w:rPr>
        <w:t xml:space="preserve">Termination:</w:t>
      </w:r>
      <w:r>
        <w:t xml:space="preserve"> </w:t>
      </w:r>
      <w:r>
        <w:t xml:space="preserve">Either party may terminate this Purchase Order with 60 days written notice. In the event of termination, the supplier shall be compensated for services rendered up to the termination date.</w:t>
      </w:r>
    </w:p>
    <w:p>
      <w:pPr>
        <w:numPr>
          <w:ilvl w:val="0"/>
          <w:numId w:val="1001"/>
        </w:numPr>
        <w:pStyle w:val="Compact"/>
      </w:pPr>
      <w:r>
        <w:rPr>
          <w:bCs/>
          <w:b/>
        </w:rPr>
        <w:t xml:space="preserve">Dispute Resolution:</w:t>
      </w:r>
      <w:r>
        <w:t xml:space="preserve"> </w:t>
      </w:r>
      <w:r>
        <w:t xml:space="preserve">Any disputes arising from this Purchase Order shall be resolved through the competent courts of Barcelona, Spain. Both parties agree to attempt mediation before initiating litigation, in accordance with Spanish civil procedure law.</w:t>
      </w:r>
    </w:p>
    <w:p>
      <w:pPr>
        <w:numPr>
          <w:ilvl w:val="0"/>
          <w:numId w:val="1001"/>
        </w:numPr>
        <w:pStyle w:val="Compact"/>
      </w:pPr>
      <w:r>
        <w:rPr>
          <w:bCs/>
          <w:b/>
        </w:rPr>
        <w:t xml:space="preserve">Force Majeure:</w:t>
      </w:r>
      <w:r>
        <w:t xml:space="preserve"> </w:t>
      </w:r>
      <w:r>
        <w:t xml:space="preserve">Neither party shall be liable for delays caused by events beyond reasonable control, including but not limited to natural disasters, government mandates, or public health emergencies affecting the city of Barcelona, Spain.</w:t>
      </w:r>
    </w:p>
    <w:bookmarkEnd w:id="26"/>
    <w:bookmarkStart w:id="27" w:name="authorization-and-signatures"/>
    <w:p>
      <w:pPr>
        <w:pStyle w:val="Heading2"/>
      </w:pPr>
      <w:r>
        <w:t xml:space="preserve">7. Authorization and Signatures</w:t>
      </w:r>
    </w:p>
    <w:p>
      <w:pPr>
        <w:pStyle w:val="FirstParagraph"/>
      </w:pPr>
      <w:r>
        <w:t xml:space="preserve">This Purchase Order is valid upon the signatures of both authorized representatives. By signing below, both parties acknowledge and agree to all terms, conditions, and obligations set forth in this document for the procurement of Librarian services and resources in Barcelona, Spain.</w:t>
      </w:r>
    </w:p>
    <w:p>
      <w:pPr>
        <w:pStyle w:val="BodyText"/>
      </w:pPr>
      <w:r>
        <w:rPr>
          <w:bCs/>
          <w:b/>
        </w:rPr>
        <w:t xml:space="preserve">For the Purchasing Entity:</w:t>
      </w:r>
    </w:p>
    <w:p>
      <w:pPr>
        <w:pStyle w:val="BodyText"/>
      </w:pPr>
      <w:r>
        <w:t xml:space="preserve">Name: Montserrat Vidal</w:t>
      </w:r>
    </w:p>
    <w:p>
      <w:pPr>
        <w:pStyle w:val="BodyText"/>
      </w:pPr>
      <w:r>
        <w:t xml:space="preserve">Title: Director of Procurement, Biblioteca de Barcelona</w:t>
      </w:r>
    </w:p>
    <w:p>
      <w:pPr>
        <w:pStyle w:val="BodyText"/>
      </w:pPr>
      <w:r>
        <w:t xml:space="preserve">Signature: ___________________________</w:t>
      </w:r>
    </w:p>
    <w:p>
      <w:pPr>
        <w:pStyle w:val="BodyText"/>
      </w:pPr>
      <w:r>
        <w:t xml:space="preserve">Date: ___________________________</w:t>
      </w:r>
    </w:p>
    <w:p>
      <w:pPr>
        <w:pStyle w:val="BodyText"/>
      </w:pPr>
      <w:r>
        <w:rPr>
          <w:bCs/>
          <w:b/>
        </w:rPr>
        <w:t xml:space="preserve">For the Supplier:</w:t>
      </w:r>
    </w:p>
    <w:p>
      <w:pPr>
        <w:pStyle w:val="BodyText"/>
      </w:pPr>
      <w:r>
        <w:t xml:space="preserve">Name: Dr. Jordi Ferrer</w:t>
      </w:r>
    </w:p>
    <w:p>
      <w:pPr>
        <w:pStyle w:val="BodyText"/>
      </w:pPr>
      <w:r>
        <w:t xml:space="preserve">Title: Managing Director, Academic Librarian Solutions S.L.</w:t>
      </w:r>
    </w:p>
    <w:p>
      <w:pPr>
        <w:pStyle w:val="BodyText"/>
      </w:pPr>
      <w:r>
        <w:t xml:space="preserve">Signature: ___________________________</w:t>
      </w:r>
    </w:p>
    <w:p>
      <w:pPr>
        <w:pStyle w:val="BodyText"/>
      </w:pPr>
      <w:r>
        <w:t xml:space="preserve">Date: ___________________________</w:t>
      </w:r>
    </w:p>
    <w:bookmarkEnd w:id="27"/>
    <w:p>
      <w:pPr>
        <w:pStyle w:val="BodyText"/>
      </w:pPr>
      <w:r>
        <w:t xml:space="preserve">This Purchase Order (ES-BCN-LIB-2025-04782) was issued in Barcelona, Spain, and is valid for a period of 90 days from the date of issue. All communications regarding this Purchase Order shall be directed to the addresses specified above. This document is subject to the laws of the Kingdom of Spain and the autonomous community of Catalonia.</w:t>
      </w:r>
    </w:p>
    <w:p>
      <w:pPr>
        <w:pStyle w:val="BodyText"/>
      </w:pPr>
      <w:r>
        <w:t xml:space="preserve">© 2025 Biblioteca de Barcelona — Municipal Library Authority.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Librarian Services - Barcelona, Spain</dc:title>
  <dc:creator/>
  <dc:language>en</dc:language>
  <cp:keywords/>
  <dcterms:created xsi:type="dcterms:W3CDTF">2026-10-10T07:23:04Z</dcterms:created>
  <dcterms:modified xsi:type="dcterms:W3CDTF">2026-10-10T07:23:04Z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