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Mason</w:t>
      </w:r>
      <w:r>
        <w:t xml:space="preserve"> </w:t>
      </w:r>
      <w:r>
        <w:t xml:space="preserve">Construction</w:t>
      </w:r>
      <w:r>
        <w:t xml:space="preserve"> </w:t>
      </w:r>
      <w:r>
        <w:t xml:space="preserve">Services</w:t>
      </w:r>
      <w:r>
        <w:t xml:space="preserve"> </w:t>
      </w:r>
      <w:r>
        <w:t xml:space="preserve">-</w:t>
      </w:r>
      <w:r>
        <w:t xml:space="preserve"> </w:t>
      </w:r>
      <w:r>
        <w:t xml:space="preserve">Brazil</w:t>
      </w:r>
      <w:r>
        <w:t xml:space="preserve"> </w:t>
      </w:r>
      <w:r>
        <w:t xml:space="preserve">Brasília</w:t>
      </w:r>
    </w:p>
    <w:bookmarkStart w:id="20" w:name="purchase-order"/>
    <w:p>
      <w:pPr>
        <w:pStyle w:val="Heading1"/>
      </w:pPr>
      <w:r>
        <w:t xml:space="preserve">PURCHASE ORDER</w:t>
      </w:r>
    </w:p>
    <w:p>
      <w:pPr>
        <w:pStyle w:val="FirstParagraph"/>
      </w:pPr>
      <w:r>
        <w:t xml:space="preserve">Mason Construction &amp; Masonry Services Division</w:t>
      </w:r>
    </w:p>
    <w:p>
      <w:pPr>
        <w:pStyle w:val="BodyText"/>
      </w:pPr>
      <w:r>
        <w:t xml:space="preserve">Brasília, Distrito Federal, Brazil</w:t>
      </w:r>
    </w:p>
    <w:p>
      <w:pPr>
        <w:pStyle w:val="BodyText"/>
      </w:pPr>
      <w:r>
        <w:t xml:space="preserve">PO No. BR-BSB-2025-04782</w:t>
      </w:r>
    </w:p>
    <w:bookmarkEnd w:id="20"/>
    <w:bookmarkStart w:id="21" w:name="purchase-order-details"/>
    <w:p>
      <w:pPr>
        <w:pStyle w:val="Heading2"/>
      </w:pPr>
      <w:r>
        <w:t xml:space="preserve">1. Purchase Order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Purchase Order Number:</w:t>
            </w:r>
          </w:p>
        </w:tc>
        <w:tc>
          <w:tcPr/>
          <w:p>
            <w:pPr>
              <w:pStyle w:val="Compact"/>
              <w:jc w:val="left"/>
            </w:pPr>
            <w:r>
              <w:t xml:space="preserve">BR-BSB-2025-04782</w:t>
            </w:r>
          </w:p>
        </w:tc>
      </w:tr>
      <w:tr>
        <w:tc>
          <w:tcPr/>
          <w:p>
            <w:pPr>
              <w:pStyle w:val="Compact"/>
              <w:jc w:val="left"/>
            </w:pPr>
            <w:r>
              <w:rPr>
                <w:bCs/>
                <w:b/>
              </w:rPr>
              <w:t xml:space="preserve">Date of Issue:</w:t>
            </w:r>
          </w:p>
        </w:tc>
        <w:tc>
          <w:tcPr/>
          <w:p>
            <w:pPr>
              <w:pStyle w:val="Compact"/>
              <w:jc w:val="left"/>
            </w:pPr>
            <w:r>
              <w:t xml:space="preserve">14 June 2025</w:t>
            </w:r>
          </w:p>
        </w:tc>
      </w:tr>
      <w:tr>
        <w:tc>
          <w:tcPr/>
          <w:p>
            <w:pPr>
              <w:pStyle w:val="Compact"/>
              <w:jc w:val="left"/>
            </w:pPr>
            <w:r>
              <w:rPr>
                <w:bCs/>
                <w:b/>
              </w:rPr>
              <w:t xml:space="preserve">Required Delivery Date:</w:t>
            </w:r>
          </w:p>
        </w:tc>
        <w:tc>
          <w:tcPr/>
          <w:p>
            <w:pPr>
              <w:pStyle w:val="Compact"/>
              <w:jc w:val="left"/>
            </w:pPr>
            <w:r>
              <w:t xml:space="preserve">01 August 2025</w:t>
            </w:r>
          </w:p>
        </w:tc>
      </w:tr>
      <w:tr>
        <w:tc>
          <w:tcPr/>
          <w:p>
            <w:pPr>
              <w:pStyle w:val="Compact"/>
              <w:jc w:val="left"/>
            </w:pPr>
            <w:r>
              <w:rPr>
                <w:bCs/>
                <w:b/>
              </w:rPr>
              <w:t xml:space="preserve">Project Location:</w:t>
            </w:r>
          </w:p>
        </w:tc>
        <w:tc>
          <w:tcPr/>
          <w:p>
            <w:pPr>
              <w:pStyle w:val="Compact"/>
              <w:jc w:val="left"/>
            </w:pPr>
            <w:r>
              <w:t xml:space="preserve">Setor Comercial Sul, Quadra 04, Bloco A, Asa Sul, Brasília – DF, Brazil, CEP 70304-900</w:t>
            </w:r>
          </w:p>
        </w:tc>
      </w:tr>
      <w:tr>
        <w:tc>
          <w:tcPr/>
          <w:p>
            <w:pPr>
              <w:pStyle w:val="Compact"/>
              <w:jc w:val="left"/>
            </w:pPr>
            <w:r>
              <w:rPr>
                <w:bCs/>
                <w:b/>
              </w:rPr>
              <w:t xml:space="preserve">Payment Terms:</w:t>
            </w:r>
          </w:p>
        </w:tc>
        <w:tc>
          <w:tcPr/>
          <w:p>
            <w:pPr>
              <w:pStyle w:val="Compact"/>
              <w:jc w:val="left"/>
            </w:pPr>
            <w:r>
              <w:t xml:space="preserve">Net 30 days from invoice date, payable via TED transfer (Banco do Brasil, Ag. 1234-5, Conta 98765-4)</w:t>
            </w:r>
          </w:p>
        </w:tc>
      </w:tr>
      <w:tr>
        <w:tc>
          <w:tcPr/>
          <w:p>
            <w:pPr>
              <w:pStyle w:val="Compact"/>
              <w:jc w:val="left"/>
            </w:pPr>
            <w:r>
              <w:rPr>
                <w:bCs/>
                <w:b/>
              </w:rPr>
              <w:t xml:space="preserve">Currency:</w:t>
            </w:r>
          </w:p>
        </w:tc>
        <w:tc>
          <w:tcPr/>
          <w:p>
            <w:pPr>
              <w:pStyle w:val="Compact"/>
              <w:jc w:val="left"/>
            </w:pPr>
            <w:r>
              <w:t xml:space="preserve">Brazilian Real (BRL – R$)</w:t>
            </w:r>
          </w:p>
        </w:tc>
      </w:tr>
      <w:tr>
        <w:tc>
          <w:tcPr/>
          <w:p>
            <w:pPr>
              <w:pStyle w:val="Compact"/>
              <w:jc w:val="left"/>
            </w:pPr>
            <w:r>
              <w:rPr>
                <w:bCs/>
                <w:b/>
              </w:rPr>
              <w:t xml:space="preserve">Applicable Legislation:</w:t>
            </w:r>
          </w:p>
        </w:tc>
        <w:tc>
          <w:tcPr/>
          <w:p>
            <w:pPr>
              <w:pStyle w:val="Compact"/>
              <w:jc w:val="left"/>
            </w:pPr>
            <w:r>
              <w:t xml:space="preserve">Brazilian Civil Code (Código Civil, Lei nº 10.406/2002) and Federal Decree nº 3.555/2000 (Brazilian Norms – NBR)</w:t>
            </w:r>
          </w:p>
        </w:tc>
      </w:tr>
    </w:tbl>
    <w:bookmarkEnd w:id="21"/>
    <w:bookmarkStart w:id="22" w:name="purchasing-entity-buyer"/>
    <w:p>
      <w:pPr>
        <w:pStyle w:val="Heading2"/>
      </w:pPr>
      <w:r>
        <w:t xml:space="preserve">2.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Construtora Horizonte do Cerrado Ltda.</w:t>
            </w:r>
          </w:p>
        </w:tc>
      </w:tr>
      <w:tr>
        <w:tc>
          <w:tcPr/>
          <w:p>
            <w:pPr>
              <w:pStyle w:val="Compact"/>
              <w:jc w:val="left"/>
            </w:pPr>
            <w:r>
              <w:rPr>
                <w:bCs/>
                <w:b/>
              </w:rPr>
              <w:t xml:space="preserve">CNPJ:</w:t>
            </w:r>
          </w:p>
        </w:tc>
        <w:tc>
          <w:tcPr/>
          <w:p>
            <w:pPr>
              <w:pStyle w:val="Compact"/>
              <w:jc w:val="left"/>
            </w:pPr>
            <w:r>
              <w:t xml:space="preserve">12.345.678/0001-90</w:t>
            </w:r>
          </w:p>
        </w:tc>
      </w:tr>
      <w:tr>
        <w:tc>
          <w:tcPr/>
          <w:p>
            <w:pPr>
              <w:pStyle w:val="Compact"/>
              <w:jc w:val="left"/>
            </w:pPr>
            <w:r>
              <w:rPr>
                <w:bCs/>
                <w:b/>
              </w:rPr>
              <w:t xml:space="preserve">Address:</w:t>
            </w:r>
          </w:p>
        </w:tc>
        <w:tc>
          <w:tcPr/>
          <w:p>
            <w:pPr>
              <w:pStyle w:val="Compact"/>
              <w:jc w:val="left"/>
            </w:pPr>
            <w:r>
              <w:t xml:space="preserve">SHLS, Quadra 06, Lote 12, Sala 450, Asa Sul, Brasília – DF, Brazil, CEP 70310-100</w:t>
            </w:r>
          </w:p>
        </w:tc>
      </w:tr>
      <w:tr>
        <w:tc>
          <w:tcPr/>
          <w:p>
            <w:pPr>
              <w:pStyle w:val="Compact"/>
              <w:jc w:val="left"/>
            </w:pPr>
            <w:r>
              <w:rPr>
                <w:bCs/>
                <w:b/>
              </w:rPr>
              <w:t xml:space="preserve">Contact Person:</w:t>
            </w:r>
          </w:p>
        </w:tc>
        <w:tc>
          <w:tcPr/>
          <w:p>
            <w:pPr>
              <w:pStyle w:val="Compact"/>
              <w:jc w:val="left"/>
            </w:pPr>
            <w:r>
              <w:t xml:space="preserve">Eng.ª Mariana Costa – Procurement Manager</w:t>
            </w:r>
          </w:p>
        </w:tc>
      </w:tr>
      <w:tr>
        <w:tc>
          <w:tcPr/>
          <w:p>
            <w:pPr>
              <w:pStyle w:val="Compact"/>
              <w:jc w:val="left"/>
            </w:pPr>
            <w:r>
              <w:rPr>
                <w:bCs/>
                <w:b/>
              </w:rPr>
              <w:t xml:space="preserve">Email:</w:t>
            </w:r>
          </w:p>
        </w:tc>
        <w:tc>
          <w:tcPr/>
          <w:p>
            <w:pPr>
              <w:pStyle w:val="Compact"/>
              <w:jc w:val="left"/>
            </w:pPr>
            <w:r>
              <w:t xml:space="preserve">compras@horizontecerrado.com.br</w:t>
            </w:r>
          </w:p>
        </w:tc>
      </w:tr>
      <w:tr>
        <w:tc>
          <w:tcPr/>
          <w:p>
            <w:pPr>
              <w:pStyle w:val="Compact"/>
              <w:jc w:val="left"/>
            </w:pPr>
            <w:r>
              <w:rPr>
                <w:bCs/>
                <w:b/>
              </w:rPr>
              <w:t xml:space="preserve">Phone:</w:t>
            </w:r>
          </w:p>
        </w:tc>
        <w:tc>
          <w:tcPr/>
          <w:p>
            <w:pPr>
              <w:pStyle w:val="Compact"/>
              <w:jc w:val="left"/>
            </w:pPr>
            <w:r>
              <w:t xml:space="preserve">+55 (61) 3344-5566</w:t>
            </w:r>
          </w:p>
        </w:tc>
      </w:tr>
    </w:tbl>
    <w:bookmarkEnd w:id="22"/>
    <w:bookmarkStart w:id="23" w:name="supplier-seller-mason-services"/>
    <w:p>
      <w:pPr>
        <w:pStyle w:val="Heading2"/>
      </w:pPr>
      <w:r>
        <w:t xml:space="preserve">3. Supplier (Seller) – Mason Services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Mason Alvenaria &amp; Estruturas Especiais S.A.</w:t>
            </w:r>
          </w:p>
        </w:tc>
      </w:tr>
      <w:tr>
        <w:tc>
          <w:tcPr/>
          <w:p>
            <w:pPr>
              <w:pStyle w:val="Compact"/>
              <w:jc w:val="left"/>
            </w:pPr>
            <w:r>
              <w:rPr>
                <w:bCs/>
                <w:b/>
              </w:rPr>
              <w:t xml:space="preserve">CNPJ:</w:t>
            </w:r>
          </w:p>
        </w:tc>
        <w:tc>
          <w:tcPr/>
          <w:p>
            <w:pPr>
              <w:pStyle w:val="Compact"/>
              <w:jc w:val="left"/>
            </w:pPr>
            <w:r>
              <w:t xml:space="preserve">98.765.432/0001-10</w:t>
            </w:r>
          </w:p>
        </w:tc>
      </w:tr>
      <w:tr>
        <w:tc>
          <w:tcPr/>
          <w:p>
            <w:pPr>
              <w:pStyle w:val="Compact"/>
              <w:jc w:val="left"/>
            </w:pPr>
            <w:r>
              <w:rPr>
                <w:bCs/>
                <w:b/>
              </w:rPr>
              <w:t xml:space="preserve">Address:</w:t>
            </w:r>
          </w:p>
        </w:tc>
        <w:tc>
          <w:tcPr/>
          <w:p>
            <w:pPr>
              <w:pStyle w:val="Compact"/>
              <w:jc w:val="left"/>
            </w:pPr>
            <w:r>
              <w:t xml:space="preserve">Setor de Indústrias Abertas (SIA), Quadra 1, Lote 8, Guará II, Brasília – DF, Brazil, CEP 71520-000</w:t>
            </w:r>
          </w:p>
        </w:tc>
      </w:tr>
      <w:tr>
        <w:tc>
          <w:tcPr/>
          <w:p>
            <w:pPr>
              <w:pStyle w:val="Compact"/>
              <w:jc w:val="left"/>
            </w:pPr>
            <w:r>
              <w:rPr>
                <w:bCs/>
                <w:b/>
              </w:rPr>
              <w:t xml:space="preserve">Contact Person:</w:t>
            </w:r>
          </w:p>
        </w:tc>
        <w:tc>
          <w:tcPr/>
          <w:p>
            <w:pPr>
              <w:pStyle w:val="Compact"/>
              <w:jc w:val="left"/>
            </w:pPr>
            <w:r>
              <w:t xml:space="preserve">Carlos Eduardo Ferreira – Commercial Director</w:t>
            </w:r>
          </w:p>
        </w:tc>
      </w:tr>
      <w:tr>
        <w:tc>
          <w:tcPr/>
          <w:p>
            <w:pPr>
              <w:pStyle w:val="Compact"/>
              <w:jc w:val="left"/>
            </w:pPr>
            <w:r>
              <w:rPr>
                <w:bCs/>
                <w:b/>
              </w:rPr>
              <w:t xml:space="preserve">Email:</w:t>
            </w:r>
          </w:p>
        </w:tc>
        <w:tc>
          <w:tcPr/>
          <w:p>
            <w:pPr>
              <w:pStyle w:val="Compact"/>
              <w:jc w:val="left"/>
            </w:pPr>
            <w:r>
              <w:t xml:space="preserve">vendas@masonalvenaria.com.br</w:t>
            </w:r>
          </w:p>
        </w:tc>
      </w:tr>
      <w:tr>
        <w:tc>
          <w:tcPr/>
          <w:p>
            <w:pPr>
              <w:pStyle w:val="Compact"/>
              <w:jc w:val="left"/>
            </w:pPr>
            <w:r>
              <w:rPr>
                <w:bCs/>
                <w:b/>
              </w:rPr>
              <w:t xml:space="preserve">Phone:</w:t>
            </w:r>
          </w:p>
        </w:tc>
        <w:tc>
          <w:tcPr/>
          <w:p>
            <w:pPr>
              <w:pStyle w:val="Compact"/>
              <w:jc w:val="left"/>
            </w:pPr>
            <w:r>
              <w:t xml:space="preserve">+55 (61) 3211-8899</w:t>
            </w:r>
          </w:p>
        </w:tc>
      </w:tr>
    </w:tbl>
    <w:bookmarkEnd w:id="23"/>
    <w:bookmarkStart w:id="24" w:name="scope-of-work-and-itemized-purchase"/>
    <w:p>
      <w:pPr>
        <w:pStyle w:val="Heading2"/>
      </w:pPr>
      <w:r>
        <w:t xml:space="preserve">4. Scope of Work and Itemized Purchase</w:t>
      </w:r>
    </w:p>
    <w:p>
      <w:pPr>
        <w:pStyle w:val="FirstParagraph"/>
      </w:pPr>
      <w:r>
        <w:t xml:space="preserve">This Purchase Order is issued by Construtora Horizonte do Cerrado Ltda. to Mason Alvenaria &amp; Estruturas Especiais S.A. for the supply of specialized masonry materials, structural masonry blocks, and on-site mason labor services required for the construction of a commercial office building located in the Asa Sul district of Brasília, Distrito Federal, Brazil. All masonry work shall comply with the applicable Brazilian National Standards (NBR 6118, NBR 6120, NBR 14931) and the municipal building code of Brasília (Código de Obras do Distrito Federal).</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Structural masonry blocks (concrete, 14x19x39 cm, NBR 5738 compliant) for load-bearing walls</w:t>
            </w:r>
          </w:p>
        </w:tc>
        <w:tc>
          <w:tcPr/>
          <w:p>
            <w:pPr>
              <w:pStyle w:val="Compact"/>
              <w:jc w:val="left"/>
            </w:pPr>
            <w:r>
              <w:t xml:space="preserve">12,500</w:t>
            </w:r>
          </w:p>
        </w:tc>
        <w:tc>
          <w:tcPr/>
          <w:p>
            <w:pPr>
              <w:pStyle w:val="Compact"/>
              <w:jc w:val="left"/>
            </w:pPr>
            <w:r>
              <w:t xml:space="preserve">units</w:t>
            </w:r>
          </w:p>
        </w:tc>
        <w:tc>
          <w:tcPr/>
          <w:p>
            <w:pPr>
              <w:pStyle w:val="Compact"/>
              <w:jc w:val="left"/>
            </w:pPr>
            <w:r>
              <w:t xml:space="preserve">R$ 8.75</w:t>
            </w:r>
          </w:p>
        </w:tc>
        <w:tc>
          <w:tcPr/>
          <w:p>
            <w:pPr>
              <w:pStyle w:val="Compact"/>
              <w:jc w:val="left"/>
            </w:pPr>
            <w:r>
              <w:t xml:space="preserve">R$ 109,375.00</w:t>
            </w:r>
          </w:p>
        </w:tc>
      </w:tr>
      <w:tr>
        <w:tc>
          <w:tcPr/>
          <w:p>
            <w:pPr>
              <w:pStyle w:val="Compact"/>
              <w:jc w:val="left"/>
            </w:pPr>
            <w:r>
              <w:t xml:space="preserve">02</w:t>
            </w:r>
          </w:p>
        </w:tc>
        <w:tc>
          <w:tcPr/>
          <w:p>
            <w:pPr>
              <w:pStyle w:val="Compact"/>
              <w:jc w:val="left"/>
            </w:pPr>
            <w:r>
              <w:t xml:space="preserve">Specialized mason labor (qualified masons, 8-hour shifts) – 45 workers for 22 working days</w:t>
            </w:r>
          </w:p>
        </w:tc>
        <w:tc>
          <w:tcPr/>
          <w:p>
            <w:pPr>
              <w:pStyle w:val="Compact"/>
              <w:jc w:val="left"/>
            </w:pPr>
            <w:r>
              <w:t xml:space="preserve">990</w:t>
            </w:r>
          </w:p>
        </w:tc>
        <w:tc>
          <w:tcPr/>
          <w:p>
            <w:pPr>
              <w:pStyle w:val="Compact"/>
              <w:jc w:val="left"/>
            </w:pPr>
            <w:r>
              <w:t xml:space="preserve">man-days</w:t>
            </w:r>
          </w:p>
        </w:tc>
        <w:tc>
          <w:tcPr/>
          <w:p>
            <w:pPr>
              <w:pStyle w:val="Compact"/>
              <w:jc w:val="left"/>
            </w:pPr>
            <w:r>
              <w:t xml:space="preserve">R$ 285.00</w:t>
            </w:r>
          </w:p>
        </w:tc>
        <w:tc>
          <w:tcPr/>
          <w:p>
            <w:pPr>
              <w:pStyle w:val="Compact"/>
              <w:jc w:val="left"/>
            </w:pPr>
            <w:r>
              <w:t xml:space="preserve">R$ 282,150.00</w:t>
            </w:r>
          </w:p>
        </w:tc>
      </w:tr>
      <w:tr>
        <w:tc>
          <w:tcPr/>
          <w:p>
            <w:pPr>
              <w:pStyle w:val="Compact"/>
              <w:jc w:val="left"/>
            </w:pPr>
            <w:r>
              <w:t xml:space="preserve">03</w:t>
            </w:r>
          </w:p>
        </w:tc>
        <w:tc>
          <w:tcPr/>
          <w:p>
            <w:pPr>
              <w:pStyle w:val="Compact"/>
              <w:jc w:val="left"/>
            </w:pPr>
            <w:r>
              <w:t xml:space="preserve">Portland cement CP-II 32 (50 kg bags) for masonry mortar and structural joints</w:t>
            </w:r>
          </w:p>
        </w:tc>
        <w:tc>
          <w:tcPr/>
          <w:p>
            <w:pPr>
              <w:pStyle w:val="Compact"/>
              <w:jc w:val="left"/>
            </w:pPr>
            <w:r>
              <w:t xml:space="preserve">3,200</w:t>
            </w:r>
          </w:p>
        </w:tc>
        <w:tc>
          <w:tcPr/>
          <w:p>
            <w:pPr>
              <w:pStyle w:val="Compact"/>
              <w:jc w:val="left"/>
            </w:pPr>
            <w:r>
              <w:t xml:space="preserve">bags</w:t>
            </w:r>
          </w:p>
        </w:tc>
        <w:tc>
          <w:tcPr/>
          <w:p>
            <w:pPr>
              <w:pStyle w:val="Compact"/>
              <w:jc w:val="left"/>
            </w:pPr>
            <w:r>
              <w:t xml:space="preserve">R$ 42.50</w:t>
            </w:r>
          </w:p>
        </w:tc>
        <w:tc>
          <w:tcPr/>
          <w:p>
            <w:pPr>
              <w:pStyle w:val="Compact"/>
              <w:jc w:val="left"/>
            </w:pPr>
            <w:r>
              <w:t xml:space="preserve">R$ 136,000.00</w:t>
            </w:r>
          </w:p>
        </w:tc>
      </w:tr>
      <w:tr>
        <w:tc>
          <w:tcPr/>
          <w:p>
            <w:pPr>
              <w:pStyle w:val="Compact"/>
              <w:jc w:val="left"/>
            </w:pPr>
            <w:r>
              <w:t xml:space="preserve">04</w:t>
            </w:r>
          </w:p>
        </w:tc>
        <w:tc>
          <w:tcPr/>
          <w:p>
            <w:pPr>
              <w:pStyle w:val="Compact"/>
              <w:jc w:val="left"/>
            </w:pPr>
            <w:r>
              <w:t xml:space="preserve">Pre-mixed masonry mortar (saco 40 kg, NBR 13276) for block laying and finishing</w:t>
            </w:r>
          </w:p>
        </w:tc>
        <w:tc>
          <w:tcPr/>
          <w:p>
            <w:pPr>
              <w:pStyle w:val="Compact"/>
              <w:jc w:val="left"/>
            </w:pPr>
            <w:r>
              <w:t xml:space="preserve">5,800</w:t>
            </w:r>
          </w:p>
        </w:tc>
        <w:tc>
          <w:tcPr/>
          <w:p>
            <w:pPr>
              <w:pStyle w:val="Compact"/>
              <w:jc w:val="left"/>
            </w:pPr>
            <w:r>
              <w:t xml:space="preserve">sacks</w:t>
            </w:r>
          </w:p>
        </w:tc>
        <w:tc>
          <w:tcPr/>
          <w:p>
            <w:pPr>
              <w:pStyle w:val="Compact"/>
              <w:jc w:val="left"/>
            </w:pPr>
            <w:r>
              <w:t xml:space="preserve">R$ 38.90</w:t>
            </w:r>
          </w:p>
        </w:tc>
        <w:tc>
          <w:tcPr/>
          <w:p>
            <w:pPr>
              <w:pStyle w:val="Compact"/>
              <w:jc w:val="left"/>
            </w:pPr>
            <w:r>
              <w:t xml:space="preserve">R$ 225,620.00</w:t>
            </w:r>
          </w:p>
        </w:tc>
      </w:tr>
      <w:tr>
        <w:tc>
          <w:tcPr/>
          <w:p>
            <w:pPr>
              <w:pStyle w:val="Compact"/>
              <w:jc w:val="left"/>
            </w:pPr>
            <w:r>
              <w:t xml:space="preserve">05</w:t>
            </w:r>
          </w:p>
        </w:tc>
        <w:tc>
          <w:tcPr/>
          <w:p>
            <w:pPr>
              <w:pStyle w:val="Compact"/>
              <w:jc w:val="left"/>
            </w:pPr>
            <w:r>
              <w:t xml:space="preserve">Galvanized steel mesh reinforcement (1.5 mm wire, 15x15 cm grid) for masonry wall reinforcement</w:t>
            </w:r>
          </w:p>
        </w:tc>
        <w:tc>
          <w:tcPr/>
          <w:p>
            <w:pPr>
              <w:pStyle w:val="Compact"/>
              <w:jc w:val="left"/>
            </w:pPr>
            <w:r>
              <w:t xml:space="preserve">4,200</w:t>
            </w:r>
          </w:p>
        </w:tc>
        <w:tc>
          <w:tcPr/>
          <w:p>
            <w:pPr>
              <w:pStyle w:val="Compact"/>
              <w:jc w:val="left"/>
            </w:pPr>
            <w:r>
              <w:t xml:space="preserve">m²</w:t>
            </w:r>
          </w:p>
        </w:tc>
        <w:tc>
          <w:tcPr/>
          <w:p>
            <w:pPr>
              <w:pStyle w:val="Compact"/>
              <w:jc w:val="left"/>
            </w:pPr>
            <w:r>
              <w:t xml:space="preserve">R$ 27.40</w:t>
            </w:r>
          </w:p>
        </w:tc>
        <w:tc>
          <w:tcPr/>
          <w:p>
            <w:pPr>
              <w:pStyle w:val="Compact"/>
              <w:jc w:val="left"/>
            </w:pPr>
            <w:r>
              <w:t xml:space="preserve">R$ 115,080.00</w:t>
            </w:r>
          </w:p>
        </w:tc>
      </w:tr>
      <w:tr>
        <w:tc>
          <w:tcPr/>
          <w:p>
            <w:pPr>
              <w:pStyle w:val="Compact"/>
              <w:jc w:val="left"/>
            </w:pPr>
            <w:r>
              <w:t xml:space="preserve">06</w:t>
            </w:r>
          </w:p>
        </w:tc>
        <w:tc>
          <w:tcPr/>
          <w:p>
            <w:pPr>
              <w:pStyle w:val="Compact"/>
              <w:jc w:val="left"/>
            </w:pPr>
            <w:r>
              <w:t xml:space="preserve">Waterproofing membrane for masonry exterior walls (liquid-applied, 2.0 mm thickness)</w:t>
            </w:r>
          </w:p>
        </w:tc>
        <w:tc>
          <w:tcPr/>
          <w:p>
            <w:pPr>
              <w:pStyle w:val="Compact"/>
              <w:jc w:val="left"/>
            </w:pPr>
            <w:r>
              <w:t xml:space="preserve">1,850</w:t>
            </w:r>
          </w:p>
        </w:tc>
        <w:tc>
          <w:tcPr/>
          <w:p>
            <w:pPr>
              <w:pStyle w:val="Compact"/>
              <w:jc w:val="left"/>
            </w:pPr>
            <w:r>
              <w:t xml:space="preserve">m²</w:t>
            </w:r>
          </w:p>
        </w:tc>
        <w:tc>
          <w:tcPr/>
          <w:p>
            <w:pPr>
              <w:pStyle w:val="Compact"/>
              <w:jc w:val="left"/>
            </w:pPr>
            <w:r>
              <w:t xml:space="preserve">R$ 64.00</w:t>
            </w:r>
          </w:p>
        </w:tc>
        <w:tc>
          <w:tcPr/>
          <w:p>
            <w:pPr>
              <w:pStyle w:val="Compact"/>
              <w:jc w:val="left"/>
            </w:pPr>
            <w:r>
              <w:t xml:space="preserve">R$ 118,400.00</w:t>
            </w:r>
          </w:p>
        </w:tc>
      </w:tr>
      <w:tr>
        <w:tc>
          <w:tcPr/>
          <w:p>
            <w:pPr>
              <w:pStyle w:val="Compact"/>
              <w:jc w:val="left"/>
            </w:pPr>
            <w:r>
              <w:t xml:space="preserve">07</w:t>
            </w:r>
          </w:p>
        </w:tc>
        <w:tc>
          <w:tcPr/>
          <w:p>
            <w:pPr>
              <w:pStyle w:val="Compact"/>
              <w:jc w:val="left"/>
            </w:pPr>
            <w:r>
              <w:t xml:space="preserve">On-site masonry supervision and quality inspection (certified mason engineer, full project duration)</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R$ 48,500.00</w:t>
            </w:r>
          </w:p>
        </w:tc>
        <w:tc>
          <w:tcPr/>
          <w:p>
            <w:pPr>
              <w:pStyle w:val="Compact"/>
              <w:jc w:val="left"/>
            </w:pPr>
            <w:r>
              <w:t xml:space="preserve">R$ 48,500.00</w:t>
            </w:r>
          </w:p>
        </w:tc>
      </w:tr>
      <w:tr>
        <w:tc>
          <w:tcPr/>
          <w:p>
            <w:pPr>
              <w:pStyle w:val="Compact"/>
              <w:jc w:val="left"/>
            </w:pPr>
            <w:r>
              <w:t xml:space="preserve">08</w:t>
            </w:r>
          </w:p>
        </w:tc>
        <w:tc>
          <w:tcPr/>
          <w:p>
            <w:pPr>
              <w:pStyle w:val="Compact"/>
              <w:jc w:val="left"/>
            </w:pPr>
            <w:r>
              <w:t xml:space="preserve">Delivery, unloading, and on-site storage of all masonry materials at the Brasília project site</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R$ 22,300.00</w:t>
            </w:r>
          </w:p>
        </w:tc>
        <w:tc>
          <w:tcPr/>
          <w:p>
            <w:pPr>
              <w:pStyle w:val="Compact"/>
              <w:jc w:val="left"/>
            </w:pPr>
            <w:r>
              <w:t xml:space="preserve">R$ 22,300.00</w:t>
            </w:r>
          </w:p>
        </w:tc>
      </w:tr>
      <w:tr>
        <w:tc>
          <w:tcPr>
            <w:gridSpan w:val="5"/>
          </w:tcPr>
          <w:p>
            <w:pPr>
              <w:pStyle w:val="Compact"/>
              <w:jc w:val="left"/>
            </w:pPr>
            <w:r>
              <w:rPr>
                <w:bCs/>
                <w:b/>
              </w:rPr>
              <w:t xml:space="preserve">Subtotal (BRL)</w:t>
            </w:r>
          </w:p>
        </w:tc>
        <w:tc>
          <w:tcPr/>
          <w:p>
            <w:pPr>
              <w:pStyle w:val="Compact"/>
              <w:jc w:val="left"/>
            </w:pPr>
            <w:r>
              <w:rPr>
                <w:bCs/>
                <w:b/>
              </w:rPr>
              <w:t xml:space="preserve">R$ 1,057,425.00</w:t>
            </w:r>
          </w:p>
        </w:tc>
      </w:tr>
      <w:tr>
        <w:tc>
          <w:tcPr>
            <w:gridSpan w:val="5"/>
          </w:tcPr>
          <w:p>
            <w:pPr>
              <w:pStyle w:val="Compact"/>
              <w:jc w:val="left"/>
            </w:pPr>
            <w:r>
              <w:rPr>
                <w:bCs/>
                <w:b/>
              </w:rPr>
              <w:t xml:space="preserve">ICMS (18%) – Brasília/DF State Tax</w:t>
            </w:r>
          </w:p>
        </w:tc>
        <w:tc>
          <w:tcPr/>
          <w:p>
            <w:pPr>
              <w:pStyle w:val="Compact"/>
              <w:jc w:val="left"/>
            </w:pPr>
            <w:r>
              <w:rPr>
                <w:bCs/>
                <w:b/>
              </w:rPr>
              <w:t xml:space="preserve">R$ 190,336.50</w:t>
            </w:r>
          </w:p>
        </w:tc>
      </w:tr>
      <w:tr>
        <w:tc>
          <w:tcPr>
            <w:gridSpan w:val="5"/>
          </w:tcPr>
          <w:p>
            <w:pPr>
              <w:pStyle w:val="Compact"/>
              <w:jc w:val="left"/>
            </w:pPr>
            <w:r>
              <w:rPr>
                <w:bCs/>
                <w:b/>
              </w:rPr>
              <w:t xml:space="preserve">ISS (5%) – Brasília Municipal Service Tax</w:t>
            </w:r>
          </w:p>
        </w:tc>
        <w:tc>
          <w:tcPr/>
          <w:p>
            <w:pPr>
              <w:pStyle w:val="Compact"/>
              <w:jc w:val="left"/>
            </w:pPr>
            <w:r>
              <w:rPr>
                <w:bCs/>
                <w:b/>
              </w:rPr>
              <w:t xml:space="preserve">R$ 52,871.25</w:t>
            </w:r>
          </w:p>
        </w:tc>
      </w:tr>
      <w:tr>
        <w:tc>
          <w:tcPr>
            <w:gridSpan w:val="5"/>
          </w:tcPr>
          <w:p>
            <w:pPr>
              <w:pStyle w:val="Compact"/>
              <w:jc w:val="left"/>
            </w:pPr>
            <w:r>
              <w:rPr>
                <w:bCs/>
                <w:b/>
              </w:rPr>
              <w:t xml:space="preserve">GRAND TOTAL (BRL)</w:t>
            </w:r>
          </w:p>
        </w:tc>
        <w:tc>
          <w:tcPr/>
          <w:p>
            <w:pPr>
              <w:pStyle w:val="Compact"/>
              <w:jc w:val="left"/>
            </w:pPr>
            <w:r>
              <w:rPr>
                <w:bCs/>
                <w:b/>
              </w:rPr>
              <w:t xml:space="preserve">R$ 1,300,632.75</w:t>
            </w:r>
          </w:p>
        </w:tc>
      </w:tr>
    </w:tbl>
    <w:bookmarkEnd w:id="24"/>
    <w:bookmarkStart w:id="25" w:name="terms-and-conditions"/>
    <w:p>
      <w:pPr>
        <w:pStyle w:val="Heading2"/>
      </w:pPr>
      <w:r>
        <w:t xml:space="preserve">5. Terms and Conditions</w:t>
      </w:r>
    </w:p>
    <w:p>
      <w:pPr>
        <w:pStyle w:val="FirstParagraph"/>
      </w:pPr>
      <w:r>
        <w:t xml:space="preserve">All masonry materials supplied under this Purchase Order must be manufactured in Brazil and must carry the INMETRO certification mark where applicable. Mason Alvenaria &amp; Estruturas Especiais S.A. shall ensure that all mason workers assigned to the Brasília site hold valid professional registration (CREA or CFT) and comply with Brazilian labor regulations (CLT – Consolidação das Leis do Trabalho). The supplier shall provide a minimum 12-month warranty on all structural masonry work performed. Any defects in masonry workmanship or material quality discovered within the warranty period shall be rectified at the supplier's sole expense within 15 business days of written notice. Delivery of all materials shall be made to the project site in Brasília, Distrito Federal, during standard working hours (07:00 to 17:00, Monday through Friday). The supplier is responsible for all transportation, insurance during transit, and compliance with the traffic and environmental regulations of the Federal District of Brasília.</w:t>
      </w:r>
    </w:p>
    <w:bookmarkEnd w:id="25"/>
    <w:bookmarkStart w:id="26" w:name="acceptance-and-authorization"/>
    <w:p>
      <w:pPr>
        <w:pStyle w:val="Heading2"/>
      </w:pPr>
      <w:r>
        <w:t xml:space="preserve">6. Acceptance and Authorization</w:t>
      </w:r>
    </w:p>
    <w:p>
      <w:pPr>
        <w:pStyle w:val="FirstParagraph"/>
      </w:pPr>
      <w:r>
        <w:t xml:space="preserve">This Purchase Order constitutes a binding commitment upon signature by both parties. By signing below, the supplier acknowledges receipt of this Purchase Order and agrees to furnish all masonry materials, labor, and services as described herein in accordance with the specifications, timelines, and quality standards stipulated for this Brasília construction project. Any modifications to this Purchase Order must be made in writing and signed by both parties.</w:t>
      </w:r>
    </w:p>
    <w:bookmarkEnd w:id="26"/>
    <w:p>
      <w:pPr>
        <w:pStyle w:val="BodyText"/>
      </w:pPr>
      <w:r>
        <w:rPr>
          <w:bCs/>
          <w:b/>
        </w:rPr>
        <w:t xml:space="preserve">For the Buyer:</w:t>
      </w:r>
      <w:r>
        <w:br/>
      </w:r>
      <w:r>
        <w:t xml:space="preserve">Construtora Horizonte do Cerrado Ltda.</w:t>
      </w:r>
      <w:r>
        <w:br/>
      </w:r>
      <w:r>
        <w:t xml:space="preserve">Eng.ª Mariana Costa – Procurement Manager</w:t>
      </w:r>
      <w:r>
        <w:br/>
      </w:r>
      <w:r>
        <w:t xml:space="preserve">Date: _______________</w:t>
      </w:r>
    </w:p>
    <w:p>
      <w:pPr>
        <w:pStyle w:val="BodyText"/>
      </w:pPr>
      <w:r>
        <w:rPr>
          <w:bCs/>
          <w:b/>
        </w:rPr>
        <w:t xml:space="preserve">For the Supplier:</w:t>
      </w:r>
      <w:r>
        <w:br/>
      </w:r>
      <w:r>
        <w:t xml:space="preserve">Mason Alvenaria &amp; Estruturas Especiais S.A.</w:t>
      </w:r>
      <w:r>
        <w:br/>
      </w:r>
      <w:r>
        <w:t xml:space="preserve">Carlos Eduardo Ferreira – Commercial Director</w:t>
      </w:r>
      <w:r>
        <w:br/>
      </w:r>
      <w:r>
        <w:t xml:space="preserve">Date: _______________</w:t>
      </w:r>
    </w:p>
    <w:p>
      <w:pPr>
        <w:pStyle w:val="BodyText"/>
      </w:pPr>
      <w:r>
        <w:t xml:space="preserve">This Purchase Order (PO No. BR-BSB-2025-04782) was issued in Brasília, Distrito Federal, Brazil. It is governed by the laws of the Federative Republic of Brazil. In the event of any dispute, the competent courts of Brasília – DF shall have exclusive jurisdiction. This document is valid for a period of 60 calendar days from the date of issue.</w:t>
      </w:r>
    </w:p>
    <w:p>
      <w:pPr>
        <w:pStyle w:val="BodyText"/>
      </w:pPr>
      <w:r>
        <w:t xml:space="preserve">© 2025 Construtora Horizonte do Cerrado Ltda. – All rights reserved. CNPJ 12.345.678/0001-90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Mason Construction Services - Brazil Brasília</dc:title>
  <dc:creator/>
  <dc:language>en</dc:language>
  <cp:keywords/>
  <dcterms:created xsi:type="dcterms:W3CDTF">2026-10-10T04:11:50Z</dcterms:created>
  <dcterms:modified xsi:type="dcterms:W3CDTF">2026-10-10T04:11:50Z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