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Materials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Mason Construction Materials &amp; Supplies — China Beijing Region</w:t>
      </w:r>
    </w:p>
    <w:p>
      <w:pPr>
        <w:pStyle w:val="BodyText"/>
      </w:pPr>
      <w:r>
        <w:t xml:space="preserve">Document Reference: PO-CB-2025-04782 | Classification: Commercial / Binding</w:t>
      </w:r>
    </w:p>
    <w:bookmarkEnd w:id="20"/>
    <w:bookmarkStart w:id="21" w:name="purchasing-party-buyer"/>
    <w:p>
      <w:pPr>
        <w:pStyle w:val="Heading3"/>
      </w:pPr>
      <w:r>
        <w:t xml:space="preserve">Purchasing Party (Buyer)</w:t>
      </w:r>
    </w:p>
    <w:p>
      <w:pPr>
        <w:pStyle w:val="FirstParagraph"/>
      </w:pPr>
      <w:r>
        <w:rPr>
          <w:bCs/>
          <w:b/>
        </w:rPr>
        <w:t xml:space="preserve">Beijing Grand Mason Construction Group Co., Ltd.</w:t>
      </w:r>
      <w:r>
        <w:br/>
      </w:r>
      <w:r>
        <w:t xml:space="preserve">No. 88 Chaoyang Road, Chaoyang District</w:t>
      </w:r>
      <w:r>
        <w:br/>
      </w:r>
      <w:r>
        <w:t xml:space="preserve">China Beijing, 100020, People's Republic of China</w:t>
      </w:r>
      <w:r>
        <w:br/>
      </w:r>
      <w:r>
        <w:t xml:space="preserve">Contact: Mr. Wei Zhang, Procurement Director</w:t>
      </w:r>
      <w:r>
        <w:br/>
      </w:r>
      <w:r>
        <w:t xml:space="preserve">Email: procurement@bjgmason.cn</w:t>
      </w:r>
      <w:r>
        <w:br/>
      </w:r>
      <w:r>
        <w:t xml:space="preserve">Tel: +86-10-6588-2200</w:t>
      </w:r>
    </w:p>
    <w:bookmarkEnd w:id="21"/>
    <w:bookmarkStart w:id="22" w:name="supplier-seller"/>
    <w:p>
      <w:pPr>
        <w:pStyle w:val="Heading3"/>
      </w:pPr>
      <w:r>
        <w:t xml:space="preserve">Supplier (Seller)</w:t>
      </w:r>
    </w:p>
    <w:p>
      <w:pPr>
        <w:pStyle w:val="FirstParagraph"/>
      </w:pPr>
      <w:r>
        <w:rPr>
          <w:bCs/>
          <w:b/>
        </w:rPr>
        <w:t xml:space="preserve">Mason International Building Materials Ltd.</w:t>
      </w:r>
      <w:r>
        <w:br/>
      </w:r>
      <w:r>
        <w:t xml:space="preserve">12 Industrial Park Avenue, Pudong</w:t>
      </w:r>
      <w:r>
        <w:br/>
      </w:r>
      <w:r>
        <w:t xml:space="preserve">Shanghai, 200120, People's Republic of China</w:t>
      </w:r>
      <w:r>
        <w:br/>
      </w:r>
      <w:r>
        <w:t xml:space="preserve">Contact: Ms. Lin Fang, Export Manager</w:t>
      </w:r>
      <w:r>
        <w:br/>
      </w:r>
      <w:r>
        <w:t xml:space="preserve">Email: sales@masonintl.com</w:t>
      </w:r>
      <w:r>
        <w:br/>
      </w:r>
      <w:r>
        <w:t xml:space="preserve">Tel: +86-21-5833-7700</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PO-CB-2025-04782</w:t>
      </w:r>
      <w:r>
        <w:br/>
      </w:r>
      <w:r>
        <w:rPr>
          <w:bCs/>
          <w:b/>
        </w:rPr>
        <w:t xml:space="preserve">Date of Issue:</w:t>
      </w:r>
      <w:r>
        <w:t xml:space="preserve"> </w:t>
      </w:r>
      <w:r>
        <w:t xml:space="preserve">14 June 2025</w:t>
      </w:r>
      <w:r>
        <w:br/>
      </w:r>
      <w:r>
        <w:rPr>
          <w:bCs/>
          <w:b/>
        </w:rPr>
        <w:t xml:space="preserve">Delivery Deadline:</w:t>
      </w:r>
      <w:r>
        <w:t xml:space="preserve"> </w:t>
      </w:r>
      <w:r>
        <w:t xml:space="preserve">30 July 2025</w:t>
      </w:r>
      <w:r>
        <w:br/>
      </w:r>
      <w:r>
        <w:rPr>
          <w:bCs/>
          <w:b/>
        </w:rPr>
        <w:t xml:space="preserve">Delivery Location:</w:t>
      </w:r>
      <w:r>
        <w:t xml:space="preserve"> </w:t>
      </w:r>
      <w:r>
        <w:t xml:space="preserve">China Beijing, Yizhuang Economic Development Zone</w:t>
      </w:r>
      <w:r>
        <w:br/>
      </w:r>
      <w:r>
        <w:rPr>
          <w:bCs/>
          <w:b/>
        </w:rPr>
        <w:t xml:space="preserve">Payment Terms:</w:t>
      </w:r>
      <w:r>
        <w:t xml:space="preserve"> </w:t>
      </w:r>
      <w:r>
        <w:t xml:space="preserve">30% advance / 70% on delivery</w:t>
      </w:r>
      <w:r>
        <w:br/>
      </w:r>
      <w:r>
        <w:rPr>
          <w:bCs/>
          <w:b/>
        </w:rPr>
        <w:t xml:space="preserve">Incoterms:</w:t>
      </w:r>
      <w:r>
        <w:t xml:space="preserve"> </w:t>
      </w:r>
      <w:r>
        <w:t xml:space="preserve">DDP China Beijing</w:t>
      </w:r>
    </w:p>
    <w:bookmarkEnd w:id="23"/>
    <w:bookmarkStart w:id="24" w:name="purpose-and-scope-of-this-purchase-order"/>
    <w:p>
      <w:pPr>
        <w:pStyle w:val="Heading2"/>
      </w:pPr>
      <w:r>
        <w:t xml:space="preserve">1. Purpose and Scope of This Purchase Order</w:t>
      </w:r>
    </w:p>
    <w:p>
      <w:pPr>
        <w:pStyle w:val="FirstParagraph"/>
      </w:pPr>
      <w:r>
        <w:t xml:space="preserve">This Purchase Order is issued by Beijing Grand Mason Construction Group Co., Ltd. (hereinafter referred to as the "Buyer") to Mason International Building Materials Ltd. (hereinafter referred to as the "Seller") for the procurement, manufacturing, and delivery of masonry materials, structural stone components, and associated construction supplies. This Purchase Order governs all commercial terms, quality specifications, delivery obligations, and payment conditions for the project located in China Beijing, specifically the Yizhuang Economic Development Zone commercial and residential complex. All references to "Mason" within this document pertain to the Seller's branded product lines and the Buyer's corporate identity as a masonry-focused construction enterprise operating in China Beijing.</w:t>
      </w:r>
    </w:p>
    <w:bookmarkEnd w:id="24"/>
    <w:bookmarkStart w:id="25" w:name="itemized-schedule-of-mason-materials"/>
    <w:p>
      <w:pPr>
        <w:pStyle w:val="Heading2"/>
      </w:pPr>
      <w:r>
        <w:t xml:space="preserve">2. Itemized Schedule of Mason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Mason Premium Red Clay Bricks (Class A)</w:t>
            </w:r>
          </w:p>
        </w:tc>
        <w:tc>
          <w:tcPr/>
          <w:p>
            <w:pPr>
              <w:pStyle w:val="Compact"/>
              <w:jc w:val="left"/>
            </w:pPr>
            <w:r>
              <w:t xml:space="preserve">240mm × 115mm × 53mm, compressive strength ≥ 25 MPa</w:t>
            </w:r>
          </w:p>
        </w:tc>
        <w:tc>
          <w:tcPr/>
          <w:p>
            <w:pPr>
              <w:pStyle w:val="Compact"/>
              <w:jc w:val="left"/>
            </w:pPr>
            <w:r>
              <w:t xml:space="preserve">pcs</w:t>
            </w:r>
          </w:p>
        </w:tc>
        <w:tc>
          <w:tcPr/>
          <w:p>
            <w:pPr>
              <w:pStyle w:val="Compact"/>
              <w:jc w:val="left"/>
            </w:pPr>
            <w:r>
              <w:t xml:space="preserve">1,200,000</w:t>
            </w:r>
          </w:p>
        </w:tc>
        <w:tc>
          <w:tcPr/>
          <w:p>
            <w:pPr>
              <w:pStyle w:val="Compact"/>
              <w:jc w:val="left"/>
            </w:pPr>
            <w:r>
              <w:t xml:space="preserve">0.85</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Mason Granite Facade Panels (Polished)</w:t>
            </w:r>
          </w:p>
        </w:tc>
        <w:tc>
          <w:tcPr/>
          <w:p>
            <w:pPr>
              <w:pStyle w:val="Compact"/>
              <w:jc w:val="left"/>
            </w:pPr>
            <w:r>
              <w:t xml:space="preserve">600mm × 300mm × 20mm, G603 Red Granite</w:t>
            </w:r>
          </w:p>
        </w:tc>
        <w:tc>
          <w:tcPr/>
          <w:p>
            <w:pPr>
              <w:pStyle w:val="Compact"/>
              <w:jc w:val="left"/>
            </w:pPr>
            <w:r>
              <w:t xml:space="preserve">sqm</w:t>
            </w:r>
          </w:p>
        </w:tc>
        <w:tc>
          <w:tcPr/>
          <w:p>
            <w:pPr>
              <w:pStyle w:val="Compact"/>
              <w:jc w:val="left"/>
            </w:pPr>
            <w:r>
              <w:t xml:space="preserve">8,500</w:t>
            </w:r>
          </w:p>
        </w:tc>
        <w:tc>
          <w:tcPr/>
          <w:p>
            <w:pPr>
              <w:pStyle w:val="Compact"/>
              <w:jc w:val="left"/>
            </w:pPr>
            <w:r>
              <w:t xml:space="preserve">420.00</w:t>
            </w:r>
          </w:p>
        </w:tc>
        <w:tc>
          <w:tcPr/>
          <w:p>
            <w:pPr>
              <w:pStyle w:val="Compact"/>
              <w:jc w:val="left"/>
            </w:pPr>
            <w:r>
              <w:t xml:space="preserve">3,570,000.00</w:t>
            </w:r>
          </w:p>
        </w:tc>
      </w:tr>
      <w:tr>
        <w:tc>
          <w:tcPr/>
          <w:p>
            <w:pPr>
              <w:pStyle w:val="Compact"/>
              <w:jc w:val="left"/>
            </w:pPr>
            <w:r>
              <w:t xml:space="preserve">03</w:t>
            </w:r>
          </w:p>
        </w:tc>
        <w:tc>
          <w:tcPr/>
          <w:p>
            <w:pPr>
              <w:pStyle w:val="Compact"/>
              <w:jc w:val="left"/>
            </w:pPr>
            <w:r>
              <w:t xml:space="preserve">Mason Limestone Pavers (Honed Finish)</w:t>
            </w:r>
          </w:p>
        </w:tc>
        <w:tc>
          <w:tcPr/>
          <w:p>
            <w:pPr>
              <w:pStyle w:val="Compact"/>
              <w:jc w:val="left"/>
            </w:pPr>
            <w:r>
              <w:t xml:space="preserve">600mm × 600mm × 30mm, natural beige limestone</w:t>
            </w:r>
          </w:p>
        </w:tc>
        <w:tc>
          <w:tcPr/>
          <w:p>
            <w:pPr>
              <w:pStyle w:val="Compact"/>
              <w:jc w:val="left"/>
            </w:pPr>
            <w:r>
              <w:t xml:space="preserve">sqm</w:t>
            </w:r>
          </w:p>
        </w:tc>
        <w:tc>
          <w:tcPr/>
          <w:p>
            <w:pPr>
              <w:pStyle w:val="Compact"/>
              <w:jc w:val="left"/>
            </w:pPr>
            <w:r>
              <w:t xml:space="preserve">12,000</w:t>
            </w:r>
          </w:p>
        </w:tc>
        <w:tc>
          <w:tcPr/>
          <w:p>
            <w:pPr>
              <w:pStyle w:val="Compact"/>
              <w:jc w:val="left"/>
            </w:pPr>
            <w:r>
              <w:t xml:space="preserve">285.00</w:t>
            </w:r>
          </w:p>
        </w:tc>
        <w:tc>
          <w:tcPr/>
          <w:p>
            <w:pPr>
              <w:pStyle w:val="Compact"/>
              <w:jc w:val="left"/>
            </w:pPr>
            <w:r>
              <w:t xml:space="preserve">3,420,000.00</w:t>
            </w:r>
          </w:p>
        </w:tc>
      </w:tr>
      <w:tr>
        <w:tc>
          <w:tcPr/>
          <w:p>
            <w:pPr>
              <w:pStyle w:val="Compact"/>
              <w:jc w:val="left"/>
            </w:pPr>
            <w:r>
              <w:t xml:space="preserve">04</w:t>
            </w:r>
          </w:p>
        </w:tc>
        <w:tc>
          <w:tcPr/>
          <w:p>
            <w:pPr>
              <w:pStyle w:val="Compact"/>
              <w:jc w:val="left"/>
            </w:pPr>
            <w:r>
              <w:t xml:space="preserve">Mason High-Performance Mortar Mix (Type M)</w:t>
            </w:r>
          </w:p>
        </w:tc>
        <w:tc>
          <w:tcPr/>
          <w:p>
            <w:pPr>
              <w:pStyle w:val="Compact"/>
              <w:jc w:val="left"/>
            </w:pPr>
            <w:r>
              <w:t xml:space="preserve">40kg bags, compressive strength ≥ 17 MPa at 28 days</w:t>
            </w:r>
          </w:p>
        </w:tc>
        <w:tc>
          <w:tcPr/>
          <w:p>
            <w:pPr>
              <w:pStyle w:val="Compact"/>
              <w:jc w:val="left"/>
            </w:pPr>
            <w:r>
              <w:t xml:space="preserve">bags</w:t>
            </w:r>
          </w:p>
        </w:tc>
        <w:tc>
          <w:tcPr/>
          <w:p>
            <w:pPr>
              <w:pStyle w:val="Compact"/>
              <w:jc w:val="left"/>
            </w:pPr>
            <w:r>
              <w:t xml:space="preserve">45,000</w:t>
            </w:r>
          </w:p>
        </w:tc>
        <w:tc>
          <w:tcPr/>
          <w:p>
            <w:pPr>
              <w:pStyle w:val="Compact"/>
              <w:jc w:val="left"/>
            </w:pPr>
            <w:r>
              <w:t xml:space="preserve">38.00</w:t>
            </w:r>
          </w:p>
        </w:tc>
        <w:tc>
          <w:tcPr/>
          <w:p>
            <w:pPr>
              <w:pStyle w:val="Compact"/>
              <w:jc w:val="left"/>
            </w:pPr>
            <w:r>
              <w:t xml:space="preserve">1,710,000.00</w:t>
            </w:r>
          </w:p>
        </w:tc>
      </w:tr>
      <w:tr>
        <w:tc>
          <w:tcPr/>
          <w:p>
            <w:pPr>
              <w:pStyle w:val="Compact"/>
              <w:jc w:val="left"/>
            </w:pPr>
            <w:r>
              <w:t xml:space="preserve">05</w:t>
            </w:r>
          </w:p>
        </w:tc>
        <w:tc>
          <w:tcPr/>
          <w:p>
            <w:pPr>
              <w:pStyle w:val="Compact"/>
              <w:jc w:val="left"/>
            </w:pPr>
            <w:r>
              <w:t xml:space="preserve">Mason Structural Steel Lintels</w:t>
            </w:r>
          </w:p>
        </w:tc>
        <w:tc>
          <w:tcPr/>
          <w:p>
            <w:pPr>
              <w:pStyle w:val="Compact"/>
              <w:jc w:val="left"/>
            </w:pPr>
            <w:r>
              <w:t xml:space="preserve">Galvanized, 200mm × 100mm × 6mm, lengths 1.2m–3.6m</w:t>
            </w:r>
          </w:p>
        </w:tc>
        <w:tc>
          <w:tcPr/>
          <w:p>
            <w:pPr>
              <w:pStyle w:val="Compact"/>
              <w:jc w:val="left"/>
            </w:pPr>
            <w:r>
              <w:t xml:space="preserve">pcs</w:t>
            </w:r>
          </w:p>
        </w:tc>
        <w:tc>
          <w:tcPr/>
          <w:p>
            <w:pPr>
              <w:pStyle w:val="Compact"/>
              <w:jc w:val="left"/>
            </w:pPr>
            <w:r>
              <w:t xml:space="preserve">2,800</w:t>
            </w:r>
          </w:p>
        </w:tc>
        <w:tc>
          <w:tcPr/>
          <w:p>
            <w:pPr>
              <w:pStyle w:val="Compact"/>
              <w:jc w:val="left"/>
            </w:pPr>
            <w:r>
              <w:t xml:space="preserve">310.00</w:t>
            </w:r>
          </w:p>
        </w:tc>
        <w:tc>
          <w:tcPr/>
          <w:p>
            <w:pPr>
              <w:pStyle w:val="Compact"/>
              <w:jc w:val="left"/>
            </w:pPr>
            <w:r>
              <w:t xml:space="preserve">868,000.00</w:t>
            </w:r>
          </w:p>
        </w:tc>
      </w:tr>
      <w:tr>
        <w:tc>
          <w:tcPr/>
          <w:p>
            <w:pPr>
              <w:pStyle w:val="Compact"/>
              <w:jc w:val="left"/>
            </w:pPr>
            <w:r>
              <w:t xml:space="preserve">06</w:t>
            </w:r>
          </w:p>
        </w:tc>
        <w:tc>
          <w:tcPr/>
          <w:p>
            <w:pPr>
              <w:pStyle w:val="Compact"/>
              <w:jc w:val="left"/>
            </w:pPr>
            <w:r>
              <w:t xml:space="preserve">Mason Waterproofing Membrane (Bituminous)</w:t>
            </w:r>
          </w:p>
        </w:tc>
        <w:tc>
          <w:tcPr/>
          <w:p>
            <w:pPr>
              <w:pStyle w:val="Compact"/>
              <w:jc w:val="left"/>
            </w:pPr>
            <w:r>
              <w:t xml:space="preserve">4mm SBS modified bitumen, 10m × 1m rolls</w:t>
            </w:r>
          </w:p>
        </w:tc>
        <w:tc>
          <w:tcPr/>
          <w:p>
            <w:pPr>
              <w:pStyle w:val="Compact"/>
              <w:jc w:val="left"/>
            </w:pPr>
            <w:r>
              <w:t xml:space="preserve">rolls</w:t>
            </w:r>
          </w:p>
        </w:tc>
        <w:tc>
          <w:tcPr/>
          <w:p>
            <w:pPr>
              <w:pStyle w:val="Compact"/>
              <w:jc w:val="left"/>
            </w:pPr>
            <w:r>
              <w:t xml:space="preserve">3,200</w:t>
            </w:r>
          </w:p>
        </w:tc>
        <w:tc>
          <w:tcPr/>
          <w:p>
            <w:pPr>
              <w:pStyle w:val="Compact"/>
              <w:jc w:val="left"/>
            </w:pPr>
            <w:r>
              <w:t xml:space="preserve">195.00</w:t>
            </w:r>
          </w:p>
        </w:tc>
        <w:tc>
          <w:tcPr/>
          <w:p>
            <w:pPr>
              <w:pStyle w:val="Compact"/>
              <w:jc w:val="left"/>
            </w:pPr>
            <w:r>
              <w:t xml:space="preserve">624,000.00</w:t>
            </w:r>
          </w:p>
        </w:tc>
      </w:tr>
      <w:tr>
        <w:tc>
          <w:tcPr/>
          <w:p>
            <w:pPr>
              <w:pStyle w:val="Compact"/>
              <w:jc w:val="left"/>
            </w:pPr>
            <w:r>
              <w:t xml:space="preserve">07</w:t>
            </w:r>
          </w:p>
        </w:tc>
        <w:tc>
          <w:tcPr/>
          <w:p>
            <w:pPr>
              <w:pStyle w:val="Compact"/>
              <w:jc w:val="left"/>
            </w:pPr>
            <w:r>
              <w:t xml:space="preserve">Mason Grout Compound (Non-Shrink)</w:t>
            </w:r>
          </w:p>
        </w:tc>
        <w:tc>
          <w:tcPr/>
          <w:p>
            <w:pPr>
              <w:pStyle w:val="Compact"/>
              <w:jc w:val="left"/>
            </w:pPr>
            <w:r>
              <w:t xml:space="preserve">25kg bags, flowable, for masonry joint filling</w:t>
            </w:r>
          </w:p>
        </w:tc>
        <w:tc>
          <w:tcPr/>
          <w:p>
            <w:pPr>
              <w:pStyle w:val="Compact"/>
              <w:jc w:val="left"/>
            </w:pPr>
            <w:r>
              <w:t xml:space="preserve">bags</w:t>
            </w:r>
          </w:p>
        </w:tc>
        <w:tc>
          <w:tcPr/>
          <w:p>
            <w:pPr>
              <w:pStyle w:val="Compact"/>
              <w:jc w:val="left"/>
            </w:pPr>
            <w:r>
              <w:t xml:space="preserve">18,000</w:t>
            </w:r>
          </w:p>
        </w:tc>
        <w:tc>
          <w:tcPr/>
          <w:p>
            <w:pPr>
              <w:pStyle w:val="Compact"/>
              <w:jc w:val="left"/>
            </w:pPr>
            <w:r>
              <w:t xml:space="preserve">52.00</w:t>
            </w:r>
          </w:p>
        </w:tc>
        <w:tc>
          <w:tcPr/>
          <w:p>
            <w:pPr>
              <w:pStyle w:val="Compact"/>
              <w:jc w:val="left"/>
            </w:pPr>
            <w:r>
              <w:t xml:space="preserve">936,000.00</w:t>
            </w:r>
          </w:p>
        </w:tc>
      </w:tr>
      <w:tr>
        <w:tc>
          <w:tcPr/>
          <w:p>
            <w:pPr>
              <w:pStyle w:val="Compact"/>
              <w:jc w:val="left"/>
            </w:pPr>
            <w:r>
              <w:t xml:space="preserve">08</w:t>
            </w:r>
          </w:p>
        </w:tc>
        <w:tc>
          <w:tcPr/>
          <w:p>
            <w:pPr>
              <w:pStyle w:val="Compact"/>
              <w:jc w:val="left"/>
            </w:pPr>
            <w:r>
              <w:t xml:space="preserve">Mason Decorative Stone Cladding (Sandstone)</w:t>
            </w:r>
          </w:p>
        </w:tc>
        <w:tc>
          <w:tcPr/>
          <w:p>
            <w:pPr>
              <w:pStyle w:val="Compact"/>
              <w:jc w:val="left"/>
            </w:pPr>
            <w:r>
              <w:t xml:space="preserve">Custom cut, 400mm × 200mm × 25mm, textured finish</w:t>
            </w:r>
          </w:p>
        </w:tc>
        <w:tc>
          <w:tcPr/>
          <w:p>
            <w:pPr>
              <w:pStyle w:val="Compact"/>
              <w:jc w:val="left"/>
            </w:pPr>
            <w:r>
              <w:t xml:space="preserve">sqm</w:t>
            </w:r>
          </w:p>
        </w:tc>
        <w:tc>
          <w:tcPr/>
          <w:p>
            <w:pPr>
              <w:pStyle w:val="Compact"/>
              <w:jc w:val="left"/>
            </w:pPr>
            <w:r>
              <w:t xml:space="preserve">5,600</w:t>
            </w:r>
          </w:p>
        </w:tc>
        <w:tc>
          <w:tcPr/>
          <w:p>
            <w:pPr>
              <w:pStyle w:val="Compact"/>
              <w:jc w:val="left"/>
            </w:pPr>
            <w:r>
              <w:t xml:space="preserve">380.00</w:t>
            </w:r>
          </w:p>
        </w:tc>
        <w:tc>
          <w:tcPr/>
          <w:p>
            <w:pPr>
              <w:pStyle w:val="Compact"/>
              <w:jc w:val="left"/>
            </w:pPr>
            <w:r>
              <w:t xml:space="preserve">2,128,000.00</w:t>
            </w:r>
          </w:p>
        </w:tc>
      </w:tr>
      <w:tr>
        <w:tc>
          <w:tcPr>
            <w:gridSpan w:val="6"/>
          </w:tcPr>
          <w:p>
            <w:pPr>
              <w:pStyle w:val="Compact"/>
              <w:jc w:val="right"/>
            </w:pPr>
            <w:r>
              <w:t xml:space="preserve">SUBTOTAL</w:t>
            </w:r>
          </w:p>
        </w:tc>
        <w:tc>
          <w:tcPr/>
          <w:p>
            <w:pPr>
              <w:pStyle w:val="Compact"/>
              <w:jc w:val="left"/>
            </w:pPr>
            <w:r>
              <w:t xml:space="preserve">14,276,000.00</w:t>
            </w:r>
          </w:p>
        </w:tc>
      </w:tr>
      <w:tr>
        <w:tc>
          <w:tcPr>
            <w:gridSpan w:val="6"/>
          </w:tcPr>
          <w:p>
            <w:pPr>
              <w:pStyle w:val="Compact"/>
              <w:jc w:val="right"/>
            </w:pPr>
            <w:r>
              <w:t xml:space="preserve">VAT (13%)</w:t>
            </w:r>
          </w:p>
        </w:tc>
        <w:tc>
          <w:tcPr/>
          <w:p>
            <w:pPr>
              <w:pStyle w:val="Compact"/>
              <w:jc w:val="left"/>
            </w:pPr>
            <w:r>
              <w:t xml:space="preserve">1,855,880.00</w:t>
            </w:r>
          </w:p>
        </w:tc>
      </w:tr>
      <w:tr>
        <w:tc>
          <w:tcPr>
            <w:gridSpan w:val="6"/>
          </w:tcPr>
          <w:p>
            <w:pPr>
              <w:pStyle w:val="Compact"/>
              <w:jc w:val="right"/>
            </w:pPr>
            <w:r>
              <w:t xml:space="preserve">FREIGHT &amp; INSURANCE TO CHINA BEIJING</w:t>
            </w:r>
          </w:p>
        </w:tc>
        <w:tc>
          <w:tcPr/>
          <w:p>
            <w:pPr>
              <w:pStyle w:val="Compact"/>
              <w:jc w:val="left"/>
            </w:pPr>
            <w:r>
              <w:t xml:space="preserve">186,000.00</w:t>
            </w:r>
          </w:p>
        </w:tc>
      </w:tr>
      <w:tr>
        <w:tc>
          <w:tcPr>
            <w:gridSpan w:val="6"/>
          </w:tcPr>
          <w:p>
            <w:pPr>
              <w:pStyle w:val="Compact"/>
              <w:jc w:val="right"/>
            </w:pPr>
            <w:r>
              <w:t xml:space="preserve">GRAND TOTAL (CNY)</w:t>
            </w:r>
          </w:p>
        </w:tc>
        <w:tc>
          <w:tcPr/>
          <w:p>
            <w:pPr>
              <w:pStyle w:val="Compact"/>
              <w:jc w:val="left"/>
            </w:pPr>
            <w:r>
              <w:t xml:space="preserve">16,317,880.00</w:t>
            </w:r>
          </w:p>
        </w:tc>
      </w:tr>
    </w:tbl>
    <w:bookmarkEnd w:id="25"/>
    <w:bookmarkStart w:id="26" w:name="delivery-and-logistics-to-china-beijing"/>
    <w:p>
      <w:pPr>
        <w:pStyle w:val="Heading2"/>
      </w:pPr>
      <w:r>
        <w:t xml:space="preserve">3. Delivery and Logistics to China Beijing</w:t>
      </w:r>
    </w:p>
    <w:p>
      <w:pPr>
        <w:pStyle w:val="FirstParagraph"/>
      </w:pPr>
      <w:r>
        <w:t xml:space="preserve">All masonry materials and Mason-branded products listed in this Purchase Order shall be delivered to the Buyer's designated site at the Yizhuang Economic Development Zone, China Beijing, 101111. The Seller is responsible for all packaging, loading, inland transportation from the Shanghai manufacturing facility to China Beijing, and unloading at the Buyer's receiving warehouse. Delivery must be completed no later than 30 July 2025. The Seller shall provide a minimum of 72 hours' written notice prior to each delivery dispatch. All goods must comply with the People's Republic of China national standards GB/T 50081 (concrete and masonry testing) and GB 50203 (masonry structure construction quality acceptance). The Seller shall bear all risk of loss or damage until the materials are physically received and inspected at the China Beijing site. Freight costs are calculated based on the standard route from Shanghai to China Beijing via the Jinghu Expressway (G2) and are included in the total amount stated above.</w:t>
      </w:r>
    </w:p>
    <w:bookmarkEnd w:id="26"/>
    <w:bookmarkStart w:id="27" w:name="quality-assurance-and-inspection"/>
    <w:p>
      <w:pPr>
        <w:pStyle w:val="Heading2"/>
      </w:pPr>
      <w:r>
        <w:t xml:space="preserve">4. Quality Assurance and Inspection</w:t>
      </w:r>
    </w:p>
    <w:p>
      <w:pPr>
        <w:pStyle w:val="FirstParagraph"/>
      </w:pPr>
      <w:r>
        <w:t xml:space="preserve">Upon arrival at the China Beijing delivery point, the Buyer's quality assurance team shall conduct a visual and dimensional inspection of all Mason masonry products within five (5) business days. Any items found to be defective, damaged in transit, or non-conforming to the specifications outlined in Section 2 of this Purchase Order shall be reported to the Seller in writing within the same five-day window. The Seller shall, at its own expense, replace or repair any non-conforming Mason materials within fourteen (14) calendar days of receiving the defect notification. The Seller warrants that all masonry products supplied under this Purchase Order are new, of first quality, and free from manufacturing defects. Certificates of conformity, material test reports, and batch traceability documentation must accompany each shipment to China Beijing.</w:t>
      </w:r>
    </w:p>
    <w:bookmarkEnd w:id="27"/>
    <w:bookmarkStart w:id="28" w:name="payment-terms-and-conditions"/>
    <w:p>
      <w:pPr>
        <w:pStyle w:val="Heading2"/>
      </w:pPr>
      <w:r>
        <w:t xml:space="preserve">5. Payment Terms and Conditions</w:t>
      </w:r>
    </w:p>
    <w:p>
      <w:pPr>
        <w:pStyle w:val="FirstParagraph"/>
      </w:pPr>
      <w:r>
        <w:t xml:space="preserve">Payment for this Purchase Order shall be made in Chinese Yuan (CNY) via bank transfer to the Seller's designated account. A 30% advance payment (CNY 4,895,364.00) is due within ten (10) business days of the Buyer's written acceptance of this Purchase Order. The remaining 70% balance (CNY 11,422,516.00) shall be paid within fifteen (15) business days following successful delivery, inspection, and acceptance of all Mason masonry materials at the China Beijing site. Late payments shall incur interest at a rate of 0.05% per calendar day on the outstanding balance. The Seller shall issue a valid VAT invoice (fapiao) for the full amount upon receipt of each payment installment.</w:t>
      </w:r>
    </w:p>
    <w:bookmarkEnd w:id="28"/>
    <w:bookmarkStart w:id="29" w:name="general-terms-and-governing-law"/>
    <w:p>
      <w:pPr>
        <w:pStyle w:val="Heading2"/>
      </w:pPr>
      <w:r>
        <w:t xml:space="preserve">6. General Terms and Governing Law</w:t>
      </w:r>
    </w:p>
    <w:p>
      <w:pPr>
        <w:pStyle w:val="FirstParagraph"/>
      </w:pPr>
      <w:r>
        <w:t xml:space="preserve">This Purchase Order is governed by and shall be interpreted in accordance with the Civil Code of the People's Republic of China and the relevant trade regulations applicable in China Beijing. Any disputes arising from or in connection with this Purchase Order shall first be resolved through good-faith negotiation between the parties. Should negotiation fail within thirty (30) days, the dispute shall be submitted to the Beijing Arbitration Commission for arbitration in China Beijing. This Purchase Order constitutes the entire agreement between the Buyer and the Seller regarding the subject matter herein and supersedes all prior negotiations, representations, or agreements. No amendment to this Purchase Order shall be valid unless made in writing and signed by authorized representatives of both parties.</w:t>
      </w:r>
    </w:p>
    <w:p>
      <w:pPr>
        <w:pStyle w:val="BodyText"/>
      </w:pPr>
      <w:r>
        <w:rPr>
          <w:bCs/>
          <w:b/>
        </w:rPr>
        <w:t xml:space="preserve">Important Notes:</w:t>
      </w:r>
    </w:p>
    <w:p>
      <w:pPr>
        <w:numPr>
          <w:ilvl w:val="0"/>
          <w:numId w:val="1001"/>
        </w:numPr>
        <w:pStyle w:val="Compact"/>
      </w:pPr>
      <w:r>
        <w:t xml:space="preserve">All Mason-branded masonry products must display the Mason quality seal and batch number on individual packaging units.</w:t>
      </w:r>
    </w:p>
    <w:p>
      <w:pPr>
        <w:numPr>
          <w:ilvl w:val="0"/>
          <w:numId w:val="1001"/>
        </w:numPr>
        <w:pStyle w:val="Compact"/>
      </w:pPr>
      <w:r>
        <w:t xml:space="preserve">Delivery to China Beijing must occur between 08:00 and 17:00 local time, Monday through Friday, excluding Chinese public holidays.</w:t>
      </w:r>
    </w:p>
    <w:p>
      <w:pPr>
        <w:numPr>
          <w:ilvl w:val="0"/>
          <w:numId w:val="1001"/>
        </w:numPr>
        <w:pStyle w:val="Compact"/>
      </w:pPr>
      <w:r>
        <w:t xml:space="preserve">The Buyer reserves the right to conduct a pre-shipment inspection at the Seller's Shanghai facility at least seven (7) days before dispatch to China Beijing.</w:t>
      </w:r>
    </w:p>
    <w:p>
      <w:pPr>
        <w:numPr>
          <w:ilvl w:val="0"/>
          <w:numId w:val="1001"/>
        </w:numPr>
        <w:pStyle w:val="Compact"/>
      </w:pPr>
      <w:r>
        <w:t xml:space="preserve">Force majeure events, including but not limited to natural disasters, government-mandated shutdowns, or transportation disruptions affecting the China Beijing region, shall be addressed per Article 590 of the PRC Civil Code.</w:t>
      </w:r>
    </w:p>
    <w:bookmarkEnd w:id="29"/>
    <w:bookmarkStart w:id="30" w:name="authorization-and-acceptance"/>
    <w:p>
      <w:pPr>
        <w:pStyle w:val="Heading2"/>
      </w:pPr>
      <w:r>
        <w:t xml:space="preserve">7. Authorization and Acceptance</w:t>
      </w:r>
    </w:p>
    <w:p>
      <w:pPr>
        <w:pStyle w:val="FirstParagraph"/>
      </w:pPr>
      <w:r>
        <w:t xml:space="preserve">By signing below, both parties acknowledge and agree to all terms, conditions, specifications, and obligations set forth in this Purchase Order for the supply of Mason masonry materials to the China Beijing project site. This Purchase Order becomes effective upon the signature of both authorized representatives.</w:t>
      </w:r>
    </w:p>
    <w:p>
      <w:pPr>
        <w:pStyle w:val="BodyText"/>
      </w:pPr>
      <w:r>
        <w:rPr>
          <w:bCs/>
          <w:b/>
        </w:rPr>
        <w:t xml:space="preserve">For and on behalf of the Buyer:</w:t>
      </w:r>
      <w:r>
        <w:br/>
      </w:r>
      <w:r>
        <w:t xml:space="preserve">Beijing Grand Mason Construction Group Co., Ltd.</w:t>
      </w:r>
    </w:p>
    <w:p>
      <w:pPr>
        <w:pStyle w:val="BodyText"/>
      </w:pPr>
      <w:r>
        <w:t xml:space="preserve">Signature: ___________________________</w:t>
      </w:r>
    </w:p>
    <w:p>
      <w:pPr>
        <w:pStyle w:val="BodyText"/>
      </w:pPr>
      <w:r>
        <w:t xml:space="preserve">Name: Wei Zhang</w:t>
      </w:r>
    </w:p>
    <w:p>
      <w:pPr>
        <w:pStyle w:val="BodyText"/>
      </w:pPr>
      <w:r>
        <w:t xml:space="preserve">Title: Procurement Director</w:t>
      </w:r>
    </w:p>
    <w:p>
      <w:pPr>
        <w:pStyle w:val="BodyText"/>
      </w:pPr>
      <w:r>
        <w:t xml:space="preserve">Date: _______________</w:t>
      </w:r>
    </w:p>
    <w:p>
      <w:pPr>
        <w:pStyle w:val="BodyText"/>
      </w:pPr>
      <w:r>
        <w:t xml:space="preserve">Company Seal:</w:t>
      </w:r>
    </w:p>
    <w:p>
      <w:pPr>
        <w:pStyle w:val="BodyText"/>
      </w:pPr>
      <w:r>
        <w:rPr>
          <w:bCs/>
          <w:b/>
        </w:rPr>
        <w:t xml:space="preserve">For and on behalf of the Seller:</w:t>
      </w:r>
      <w:r>
        <w:br/>
      </w:r>
      <w:r>
        <w:t xml:space="preserve">Mason International Building Materials Ltd.</w:t>
      </w:r>
    </w:p>
    <w:p>
      <w:pPr>
        <w:pStyle w:val="BodyText"/>
      </w:pPr>
      <w:r>
        <w:t xml:space="preserve">Signature: ___________________________</w:t>
      </w:r>
    </w:p>
    <w:p>
      <w:pPr>
        <w:pStyle w:val="BodyText"/>
      </w:pPr>
      <w:r>
        <w:t xml:space="preserve">Name: Lin Fang</w:t>
      </w:r>
    </w:p>
    <w:p>
      <w:pPr>
        <w:pStyle w:val="BodyText"/>
      </w:pPr>
      <w:r>
        <w:t xml:space="preserve">Title: Export Manager</w:t>
      </w:r>
    </w:p>
    <w:p>
      <w:pPr>
        <w:pStyle w:val="BodyText"/>
      </w:pPr>
      <w:r>
        <w:t xml:space="preserve">Date: _______________</w:t>
      </w:r>
    </w:p>
    <w:p>
      <w:pPr>
        <w:pStyle w:val="BodyText"/>
      </w:pPr>
      <w:r>
        <w:t xml:space="preserve">Company Seal:</w:t>
      </w:r>
    </w:p>
    <w:p>
      <w:pPr>
        <w:pStyle w:val="BodyText"/>
      </w:pPr>
      <w:r>
        <w:t xml:space="preserve">— End of Purchase Order PO-CB-2025-04782 —</w:t>
      </w:r>
      <w:r>
        <w:br/>
      </w:r>
      <w:r>
        <w:t xml:space="preserve">This document is valid for 90 days from the date of issue. For inquiries regarding this Purchase Order, contact the Buyer's procurement office in China Beijing.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Materials - China Beijing</dc:title>
  <dc:creator/>
  <dc:language>en</dc:language>
  <cp:keywords/>
  <dcterms:created xsi:type="dcterms:W3CDTF">2026-10-10T02:19:53Z</dcterms:created>
  <dcterms:modified xsi:type="dcterms:W3CDTF">2026-10-10T02:19:53Z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