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Materials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rPr>
          <w:bCs/>
          <w:b/>
        </w:rPr>
        <w:t xml:space="preserve">Mason Construction Materials Co., Ltd.</w:t>
      </w:r>
    </w:p>
    <w:p>
      <w:pPr>
        <w:pStyle w:val="BodyText"/>
      </w:pPr>
      <w:r>
        <w:t xml:space="preserve">128 Tianhe Avenue, Tianhe District, Guangzhou, Guangdong Province, China 510630</w:t>
      </w:r>
    </w:p>
    <w:p>
      <w:pPr>
        <w:pStyle w:val="BodyText"/>
      </w:pPr>
      <w:r>
        <w:t xml:space="preserve">Tel: +86-20-8876-5432 | Email: procurement@mason-guangzhou.com.cn</w:t>
      </w:r>
    </w:p>
    <w:bookmarkEnd w:id="20"/>
    <w:p>
      <w:pPr>
        <w:pStyle w:val="BodyText"/>
      </w:pPr>
      <w:r>
        <w:rPr>
          <w:bCs/>
          <w:b/>
        </w:rPr>
        <w:t xml:space="preserve">Purchase Order No.:</w:t>
      </w:r>
      <w:r>
        <w:t xml:space="preserve"> </w:t>
      </w:r>
      <w:r>
        <w:t xml:space="preserve">PO-MGZ-2025-04187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Delivery Location:</w:t>
      </w:r>
      <w:r>
        <w:t xml:space="preserve"> </w:t>
      </w:r>
      <w:r>
        <w:t xml:space="preserve">China Guangzhou</w:t>
      </w:r>
    </w:p>
    <w:p>
      <w:pPr>
        <w:pStyle w:val="BodyText"/>
      </w:pPr>
      <w:r>
        <w:rPr>
          <w:bCs/>
          <w:b/>
        </w:rPr>
        <w:t xml:space="preserve">Project Reference:</w:t>
      </w:r>
      <w:r>
        <w:t xml:space="preserve"> </w:t>
      </w:r>
      <w:r>
        <w:t xml:space="preserve">Mason Tower Phase II</w:t>
      </w:r>
    </w:p>
    <w:p>
      <w:pPr>
        <w:pStyle w:val="BodyText"/>
      </w:pPr>
      <w:r>
        <w:rPr>
          <w:bCs/>
          <w:b/>
        </w:rPr>
        <w:t xml:space="preserve">Priority:</w:t>
      </w:r>
      <w:r>
        <w:t xml:space="preserve"> </w:t>
      </w:r>
      <w:r>
        <w:t xml:space="preserve">Standard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 &amp; Contact</w:t>
            </w:r>
          </w:p>
        </w:tc>
      </w:tr>
      <w:tr>
        <w:tc>
          <w:tcPr/>
          <w:p>
            <w:pPr>
              <w:pStyle w:val="Compact"/>
              <w:jc w:val="left"/>
            </w:pPr>
            <w:r>
              <w:rPr>
                <w:bCs/>
                <w:b/>
              </w:rPr>
              <w:t xml:space="preserve">Buyer</w:t>
            </w:r>
          </w:p>
        </w:tc>
        <w:tc>
          <w:tcPr/>
          <w:p>
            <w:pPr>
              <w:pStyle w:val="Compact"/>
              <w:jc w:val="left"/>
            </w:pPr>
            <w:r>
              <w:t xml:space="preserve">Mason Construction Materials Co., Ltd.</w:t>
            </w:r>
          </w:p>
        </w:tc>
        <w:tc>
          <w:tcPr/>
          <w:p>
            <w:pPr>
              <w:pStyle w:val="Compact"/>
              <w:jc w:val="left"/>
            </w:pPr>
            <w:r>
              <w:t xml:space="preserve">128 Tianhe Avenue, Tianhe District, Guangzhou, Guangdong, China 510630</w:t>
            </w:r>
            <w:r>
              <w:br/>
            </w:r>
            <w:r>
              <w:t xml:space="preserve">Attn: Mr. David Chen, Procurement Director</w:t>
            </w:r>
            <w:r>
              <w:br/>
            </w:r>
            <w:r>
              <w:t xml:space="preserve">Email: d.chen@mason-guangzhou.com.cn</w:t>
            </w:r>
          </w:p>
        </w:tc>
      </w:tr>
      <w:tr>
        <w:tc>
          <w:tcPr/>
          <w:p>
            <w:pPr>
              <w:pStyle w:val="Compact"/>
              <w:jc w:val="left"/>
            </w:pPr>
            <w:r>
              <w:rPr>
                <w:bCs/>
                <w:b/>
              </w:rPr>
              <w:t xml:space="preserve">Supplier</w:t>
            </w:r>
          </w:p>
        </w:tc>
        <w:tc>
          <w:tcPr/>
          <w:p>
            <w:pPr>
              <w:pStyle w:val="Compact"/>
              <w:jc w:val="left"/>
            </w:pPr>
            <w:r>
              <w:t xml:space="preserve">Guangzhou Southern Building Supplies Group Co., Ltd.</w:t>
            </w:r>
          </w:p>
        </w:tc>
        <w:tc>
          <w:tcPr/>
          <w:p>
            <w:pPr>
              <w:pStyle w:val="Compact"/>
              <w:jc w:val="left"/>
            </w:pPr>
            <w:r>
              <w:t xml:space="preserve">45 Huangpu Industrial Zone, Huangpu District, Guangzhou, Guangdong, China 510700</w:t>
            </w:r>
            <w:r>
              <w:br/>
            </w:r>
            <w:r>
              <w:t xml:space="preserve">Attn: Ms. Li Wei, Sales Manager</w:t>
            </w:r>
            <w:r>
              <w:br/>
            </w:r>
            <w:r>
              <w:t xml:space="preserve">Email: li.wei@gsbs-group.cn</w:t>
            </w:r>
          </w:p>
        </w:tc>
      </w:tr>
    </w:tbl>
    <w:bookmarkEnd w:id="21"/>
    <w:bookmarkStart w:id="22" w:name="purchase-order-itemization"/>
    <w:p>
      <w:pPr>
        <w:pStyle w:val="Heading2"/>
      </w:pPr>
      <w:r>
        <w:t xml:space="preserve">2. Purchase Order Itemization</w:t>
      </w:r>
    </w:p>
    <w:p>
      <w:pPr>
        <w:pStyle w:val="FirstParagraph"/>
      </w:pPr>
      <w:r>
        <w:t xml:space="preserve">This Purchase Order is issued by</w:t>
      </w:r>
      <w:r>
        <w:t xml:space="preserve"> </w:t>
      </w:r>
      <w:r>
        <w:t xml:space="preserve">Mason</w:t>
      </w:r>
      <w:r>
        <w:t xml:space="preserve"> </w:t>
      </w:r>
      <w:r>
        <w:t xml:space="preserve">Construction Materials Co., Ltd. for the procurement of masonry and construction materials required for the Mason Tower Phase II development project located in</w:t>
      </w:r>
      <w:r>
        <w:t xml:space="preserve"> </w:t>
      </w:r>
      <w:r>
        <w:t xml:space="preserve">China Guangzhou</w:t>
      </w:r>
      <w:r>
        <w:t xml:space="preserve">. The following items are ordered under this Purchase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Red Clay Bricks (Standard Masonry)</w:t>
            </w:r>
          </w:p>
        </w:tc>
        <w:tc>
          <w:tcPr/>
          <w:p>
            <w:pPr>
              <w:pStyle w:val="Compact"/>
              <w:jc w:val="left"/>
            </w:pPr>
            <w:r>
              <w:t xml:space="preserve">240mm x 115mm x 53mm, Grade A, compressive strength ≥ 10 MPa</w:t>
            </w:r>
          </w:p>
        </w:tc>
        <w:tc>
          <w:tcPr/>
          <w:p>
            <w:pPr>
              <w:pStyle w:val="Compact"/>
              <w:jc w:val="left"/>
            </w:pPr>
            <w:r>
              <w:t xml:space="preserve">Piece</w:t>
            </w:r>
          </w:p>
        </w:tc>
        <w:tc>
          <w:tcPr/>
          <w:p>
            <w:pPr>
              <w:pStyle w:val="Compact"/>
              <w:jc w:val="left"/>
            </w:pPr>
            <w:r>
              <w:t xml:space="preserve">1,200,000</w:t>
            </w:r>
          </w:p>
        </w:tc>
        <w:tc>
          <w:tcPr/>
          <w:p>
            <w:pPr>
              <w:pStyle w:val="Compact"/>
              <w:jc w:val="left"/>
            </w:pPr>
            <w:r>
              <w:t xml:space="preserve">0.42</w:t>
            </w:r>
          </w:p>
        </w:tc>
        <w:tc>
          <w:tcPr/>
          <w:p>
            <w:pPr>
              <w:pStyle w:val="Compact"/>
              <w:jc w:val="left"/>
            </w:pPr>
            <w:r>
              <w:t xml:space="preserve">504,000.00</w:t>
            </w:r>
          </w:p>
        </w:tc>
      </w:tr>
      <w:tr>
        <w:tc>
          <w:tcPr/>
          <w:p>
            <w:pPr>
              <w:pStyle w:val="Compact"/>
              <w:jc w:val="left"/>
            </w:pPr>
            <w:r>
              <w:t xml:space="preserve">02</w:t>
            </w:r>
          </w:p>
        </w:tc>
        <w:tc>
          <w:tcPr/>
          <w:p>
            <w:pPr>
              <w:pStyle w:val="Compact"/>
              <w:jc w:val="left"/>
            </w:pPr>
            <w:r>
              <w:t xml:space="preserve">Portland Cement Type I</w:t>
            </w:r>
          </w:p>
        </w:tc>
        <w:tc>
          <w:tcPr/>
          <w:p>
            <w:pPr>
              <w:pStyle w:val="Compact"/>
              <w:jc w:val="left"/>
            </w:pPr>
            <w:r>
              <w:t xml:space="preserve">50 kg bags, P.O. 42.5 grade, GB 175-2007 compliant</w:t>
            </w:r>
          </w:p>
        </w:tc>
        <w:tc>
          <w:tcPr/>
          <w:p>
            <w:pPr>
              <w:pStyle w:val="Compact"/>
              <w:jc w:val="left"/>
            </w:pPr>
            <w:r>
              <w:t xml:space="preserve">Bag</w:t>
            </w:r>
          </w:p>
        </w:tc>
        <w:tc>
          <w:tcPr/>
          <w:p>
            <w:pPr>
              <w:pStyle w:val="Compact"/>
              <w:jc w:val="left"/>
            </w:pPr>
            <w:r>
              <w:t xml:space="preserve">85,000</w:t>
            </w:r>
          </w:p>
        </w:tc>
        <w:tc>
          <w:tcPr/>
          <w:p>
            <w:pPr>
              <w:pStyle w:val="Compact"/>
              <w:jc w:val="left"/>
            </w:pPr>
            <w:r>
              <w:t xml:space="preserve">38.50</w:t>
            </w:r>
          </w:p>
        </w:tc>
        <w:tc>
          <w:tcPr/>
          <w:p>
            <w:pPr>
              <w:pStyle w:val="Compact"/>
              <w:jc w:val="left"/>
            </w:pPr>
            <w:r>
              <w:t xml:space="preserve">3,272,500.00</w:t>
            </w:r>
          </w:p>
        </w:tc>
      </w:tr>
      <w:tr>
        <w:tc>
          <w:tcPr/>
          <w:p>
            <w:pPr>
              <w:pStyle w:val="Compact"/>
              <w:jc w:val="left"/>
            </w:pPr>
            <w:r>
              <w:t xml:space="preserve">03</w:t>
            </w:r>
          </w:p>
        </w:tc>
        <w:tc>
          <w:tcPr/>
          <w:p>
            <w:pPr>
              <w:pStyle w:val="Compact"/>
              <w:jc w:val="left"/>
            </w:pPr>
            <w:r>
              <w:t xml:space="preserve">Granite Stone Slabs (Facade Masonry)</w:t>
            </w:r>
          </w:p>
        </w:tc>
        <w:tc>
          <w:tcPr/>
          <w:p>
            <w:pPr>
              <w:pStyle w:val="Compact"/>
              <w:jc w:val="left"/>
            </w:pPr>
            <w:r>
              <w:t xml:space="preserve">600mm x 300mm x 20mm, polished finish, Guangdong local granite</w:t>
            </w:r>
          </w:p>
        </w:tc>
        <w:tc>
          <w:tcPr/>
          <w:p>
            <w:pPr>
              <w:pStyle w:val="Compact"/>
              <w:jc w:val="left"/>
            </w:pPr>
            <w:r>
              <w:t xml:space="preserve">Sqm</w:t>
            </w:r>
          </w:p>
        </w:tc>
        <w:tc>
          <w:tcPr/>
          <w:p>
            <w:pPr>
              <w:pStyle w:val="Compact"/>
              <w:jc w:val="left"/>
            </w:pPr>
            <w:r>
              <w:t xml:space="preserve">12,500</w:t>
            </w:r>
          </w:p>
        </w:tc>
        <w:tc>
          <w:tcPr/>
          <w:p>
            <w:pPr>
              <w:pStyle w:val="Compact"/>
              <w:jc w:val="left"/>
            </w:pPr>
            <w:r>
              <w:t xml:space="preserve">185.00</w:t>
            </w:r>
          </w:p>
        </w:tc>
        <w:tc>
          <w:tcPr/>
          <w:p>
            <w:pPr>
              <w:pStyle w:val="Compact"/>
              <w:jc w:val="left"/>
            </w:pPr>
            <w:r>
              <w:t xml:space="preserve">2,312,500.00</w:t>
            </w:r>
          </w:p>
        </w:tc>
      </w:tr>
      <w:tr>
        <w:tc>
          <w:tcPr/>
          <w:p>
            <w:pPr>
              <w:pStyle w:val="Compact"/>
              <w:jc w:val="left"/>
            </w:pPr>
            <w:r>
              <w:t xml:space="preserve">04</w:t>
            </w:r>
          </w:p>
        </w:tc>
        <w:tc>
          <w:tcPr/>
          <w:p>
            <w:pPr>
              <w:pStyle w:val="Compact"/>
              <w:jc w:val="left"/>
            </w:pPr>
            <w:r>
              <w:t xml:space="preserve">Ready-Mix Mortar (Masonry Grade)</w:t>
            </w:r>
          </w:p>
        </w:tc>
        <w:tc>
          <w:tcPr/>
          <w:p>
            <w:pPr>
              <w:pStyle w:val="Compact"/>
              <w:jc w:val="left"/>
            </w:pPr>
            <w:r>
              <w:t xml:space="preserve">25 kg bags, M7.5 strength class, for brick and block laying</w:t>
            </w:r>
          </w:p>
        </w:tc>
        <w:tc>
          <w:tcPr/>
          <w:p>
            <w:pPr>
              <w:pStyle w:val="Compact"/>
              <w:jc w:val="left"/>
            </w:pPr>
            <w:r>
              <w:t xml:space="preserve">Bag</w:t>
            </w:r>
          </w:p>
        </w:tc>
        <w:tc>
          <w:tcPr/>
          <w:p>
            <w:pPr>
              <w:pStyle w:val="Compact"/>
              <w:jc w:val="left"/>
            </w:pPr>
            <w:r>
              <w:t xml:space="preserve">42,000</w:t>
            </w:r>
          </w:p>
        </w:tc>
        <w:tc>
          <w:tcPr/>
          <w:p>
            <w:pPr>
              <w:pStyle w:val="Compact"/>
              <w:jc w:val="left"/>
            </w:pPr>
            <w:r>
              <w:t xml:space="preserve">12.80</w:t>
            </w:r>
          </w:p>
        </w:tc>
        <w:tc>
          <w:tcPr/>
          <w:p>
            <w:pPr>
              <w:pStyle w:val="Compact"/>
              <w:jc w:val="left"/>
            </w:pPr>
            <w:r>
              <w:t xml:space="preserve">537,600.00</w:t>
            </w:r>
          </w:p>
        </w:tc>
      </w:tr>
      <w:tr>
        <w:tc>
          <w:tcPr/>
          <w:p>
            <w:pPr>
              <w:pStyle w:val="Compact"/>
              <w:jc w:val="left"/>
            </w:pPr>
            <w:r>
              <w:t xml:space="preserve">05</w:t>
            </w:r>
          </w:p>
        </w:tc>
        <w:tc>
          <w:tcPr/>
          <w:p>
            <w:pPr>
              <w:pStyle w:val="Compact"/>
              <w:jc w:val="left"/>
            </w:pPr>
            <w:r>
              <w:t xml:space="preserve">Reinforced Concrete Blocks</w:t>
            </w:r>
          </w:p>
        </w:tc>
        <w:tc>
          <w:tcPr/>
          <w:p>
            <w:pPr>
              <w:pStyle w:val="Compact"/>
              <w:jc w:val="left"/>
            </w:pPr>
            <w:r>
              <w:t xml:space="preserve">390mm x 190mm x 190mm, hollow, for load-bearing masonry walls</w:t>
            </w:r>
          </w:p>
        </w:tc>
        <w:tc>
          <w:tcPr/>
          <w:p>
            <w:pPr>
              <w:pStyle w:val="Compact"/>
              <w:jc w:val="left"/>
            </w:pPr>
            <w:r>
              <w:t xml:space="preserve">Piece</w:t>
            </w:r>
          </w:p>
        </w:tc>
        <w:tc>
          <w:tcPr/>
          <w:p>
            <w:pPr>
              <w:pStyle w:val="Compact"/>
              <w:jc w:val="left"/>
            </w:pPr>
            <w:r>
              <w:t xml:space="preserve">350,000</w:t>
            </w:r>
          </w:p>
        </w:tc>
        <w:tc>
          <w:tcPr/>
          <w:p>
            <w:pPr>
              <w:pStyle w:val="Compact"/>
              <w:jc w:val="left"/>
            </w:pPr>
            <w:r>
              <w:t xml:space="preserve">3.60</w:t>
            </w:r>
          </w:p>
        </w:tc>
        <w:tc>
          <w:tcPr/>
          <w:p>
            <w:pPr>
              <w:pStyle w:val="Compact"/>
              <w:jc w:val="left"/>
            </w:pPr>
            <w:r>
              <w:t xml:space="preserve">1,260,000.00</w:t>
            </w:r>
          </w:p>
        </w:tc>
      </w:tr>
      <w:tr>
        <w:tc>
          <w:tcPr/>
          <w:p>
            <w:pPr>
              <w:pStyle w:val="Compact"/>
              <w:jc w:val="left"/>
            </w:pPr>
            <w:r>
              <w:t xml:space="preserve">06</w:t>
            </w:r>
          </w:p>
        </w:tc>
        <w:tc>
          <w:tcPr/>
          <w:p>
            <w:pPr>
              <w:pStyle w:val="Compact"/>
              <w:jc w:val="left"/>
            </w:pPr>
            <w:r>
              <w:t xml:space="preserve">Waterproofing Membrane (Masonry Joints)</w:t>
            </w:r>
          </w:p>
        </w:tc>
        <w:tc>
          <w:tcPr/>
          <w:p>
            <w:pPr>
              <w:pStyle w:val="Compact"/>
              <w:jc w:val="left"/>
            </w:pPr>
            <w:r>
              <w:t xml:space="preserve">Bituminous, 4mm thickness, roll 10m x 1m</w:t>
            </w:r>
          </w:p>
        </w:tc>
        <w:tc>
          <w:tcPr/>
          <w:p>
            <w:pPr>
              <w:pStyle w:val="Compact"/>
              <w:jc w:val="left"/>
            </w:pPr>
            <w:r>
              <w:t xml:space="preserve">Roll</w:t>
            </w:r>
          </w:p>
        </w:tc>
        <w:tc>
          <w:tcPr/>
          <w:p>
            <w:pPr>
              <w:pStyle w:val="Compact"/>
              <w:jc w:val="left"/>
            </w:pPr>
            <w:r>
              <w:t xml:space="preserve">3,200</w:t>
            </w:r>
          </w:p>
        </w:tc>
        <w:tc>
          <w:tcPr/>
          <w:p>
            <w:pPr>
              <w:pStyle w:val="Compact"/>
              <w:jc w:val="left"/>
            </w:pPr>
            <w:r>
              <w:t xml:space="preserve">285.00</w:t>
            </w:r>
          </w:p>
        </w:tc>
        <w:tc>
          <w:tcPr/>
          <w:p>
            <w:pPr>
              <w:pStyle w:val="Compact"/>
              <w:jc w:val="left"/>
            </w:pPr>
            <w:r>
              <w:t xml:space="preserve">912,000.00</w:t>
            </w:r>
          </w:p>
        </w:tc>
      </w:tr>
      <w:tr>
        <w:tc>
          <w:tcPr/>
          <w:p>
            <w:pPr>
              <w:pStyle w:val="Compact"/>
              <w:jc w:val="left"/>
            </w:pPr>
            <w:r>
              <w:t xml:space="preserve">07</w:t>
            </w:r>
          </w:p>
        </w:tc>
        <w:tc>
          <w:tcPr/>
          <w:p>
            <w:pPr>
              <w:pStyle w:val="Compact"/>
              <w:jc w:val="left"/>
            </w:pPr>
            <w:r>
              <w:t xml:space="preserve">Steel Masonry Ties and Anchors</w:t>
            </w:r>
          </w:p>
        </w:tc>
        <w:tc>
          <w:tcPr/>
          <w:p>
            <w:pPr>
              <w:pStyle w:val="Compact"/>
              <w:jc w:val="left"/>
            </w:pPr>
            <w:r>
              <w:t xml:space="preserve">Galvanized, various sizes per Mason project drawings Rev. 3</w:t>
            </w:r>
          </w:p>
        </w:tc>
        <w:tc>
          <w:tcPr/>
          <w:p>
            <w:pPr>
              <w:pStyle w:val="Compact"/>
              <w:jc w:val="left"/>
            </w:pPr>
            <w:r>
              <w:t xml:space="preserve">Set</w:t>
            </w:r>
          </w:p>
        </w:tc>
        <w:tc>
          <w:tcPr/>
          <w:p>
            <w:pPr>
              <w:pStyle w:val="Compact"/>
              <w:jc w:val="left"/>
            </w:pPr>
            <w:r>
              <w:t xml:space="preserve">18,000</w:t>
            </w:r>
          </w:p>
        </w:tc>
        <w:tc>
          <w:tcPr/>
          <w:p>
            <w:pPr>
              <w:pStyle w:val="Compact"/>
              <w:jc w:val="left"/>
            </w:pPr>
            <w:r>
              <w:t xml:space="preserve">15.20</w:t>
            </w:r>
          </w:p>
        </w:tc>
        <w:tc>
          <w:tcPr/>
          <w:p>
            <w:pPr>
              <w:pStyle w:val="Compact"/>
              <w:jc w:val="left"/>
            </w:pPr>
            <w:r>
              <w:t xml:space="preserve">273,600.00</w:t>
            </w:r>
          </w:p>
        </w:tc>
      </w:tr>
      <w:tr>
        <w:tc>
          <w:tcPr>
            <w:gridSpan w:val="6"/>
          </w:tcPr>
          <w:p>
            <w:pPr>
              <w:pStyle w:val="Compact"/>
              <w:jc w:val="right"/>
            </w:pPr>
            <w:r>
              <w:t xml:space="preserve">SUBTOTAL</w:t>
            </w:r>
          </w:p>
        </w:tc>
        <w:tc>
          <w:tcPr/>
          <w:p>
            <w:pPr>
              <w:pStyle w:val="Compact"/>
              <w:jc w:val="left"/>
            </w:pPr>
            <w:r>
              <w:t xml:space="preserve">9,072,200.00</w:t>
            </w:r>
          </w:p>
        </w:tc>
      </w:tr>
      <w:tr>
        <w:tc>
          <w:tcPr>
            <w:gridSpan w:val="6"/>
          </w:tcPr>
          <w:p>
            <w:pPr>
              <w:pStyle w:val="Compact"/>
              <w:jc w:val="right"/>
            </w:pPr>
            <w:r>
              <w:t xml:space="preserve">VAT (13%)</w:t>
            </w:r>
          </w:p>
        </w:tc>
        <w:tc>
          <w:tcPr/>
          <w:p>
            <w:pPr>
              <w:pStyle w:val="Compact"/>
              <w:jc w:val="left"/>
            </w:pPr>
            <w:r>
              <w:t xml:space="preserve">1,179,386.00</w:t>
            </w:r>
          </w:p>
        </w:tc>
      </w:tr>
      <w:tr>
        <w:tc>
          <w:tcPr>
            <w:gridSpan w:val="6"/>
          </w:tcPr>
          <w:p>
            <w:pPr>
              <w:pStyle w:val="Compact"/>
              <w:jc w:val="right"/>
            </w:pPr>
            <w:r>
              <w:t xml:space="preserve">GRAND TOTAL (CNY)</w:t>
            </w:r>
          </w:p>
        </w:tc>
        <w:tc>
          <w:tcPr/>
          <w:p>
            <w:pPr>
              <w:pStyle w:val="Compact"/>
              <w:jc w:val="left"/>
            </w:pPr>
            <w:r>
              <w:t xml:space="preserve">10,251,586.00</w:t>
            </w:r>
          </w:p>
        </w:tc>
      </w:tr>
    </w:tbl>
    <w:bookmarkEnd w:id="22"/>
    <w:bookmarkStart w:id="23" w:name="delivery-and-logistics-terms"/>
    <w:p>
      <w:pPr>
        <w:pStyle w:val="Heading2"/>
      </w:pPr>
      <w:r>
        <w:t xml:space="preserve">3. Delivery and Logistics Terms</w:t>
      </w:r>
    </w:p>
    <w:p>
      <w:pPr>
        <w:pStyle w:val="FirstParagraph"/>
      </w:pPr>
      <w:r>
        <w:t xml:space="preserve">All goods specified in this Purchase Order shall be delivered to the Mason Tower Phase II construction site located at 66 Zhujiang New Town, Tianhe District,</w:t>
      </w:r>
      <w:r>
        <w:t xml:space="preserve"> </w:t>
      </w:r>
      <w:r>
        <w:t xml:space="preserve">China Guangzhou</w:t>
      </w:r>
      <w:r>
        <w:t xml:space="preserve">, Guangdong Province. The supplier shall arrange all transportation and logistics from their warehouse in Huangpu District to the designated delivery point in Guangzhou. Delivery shall be completed in three (3) scheduled batches over a period of twenty-one (21) calendar days from the date of this Purchase Order. The first batch, comprising Items 01, 02, and 04, shall arrive no later than June 25, 2025. The second batch, comprising Items 03 and 05, shall arrive no later than July 2, 2025. The final batch, comprising Items 06 and 07, shall arrive no later than July 9, 2025. All deliveries must be made between the hours of 07:00 and 17:00 local time to comply with Guangzhou municipal noise and traffic regulations.</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(wire transfer) to the supplier's designated corporate account in China.</w:t>
      </w:r>
    </w:p>
    <w:p>
      <w:pPr>
        <w:numPr>
          <w:ilvl w:val="0"/>
          <w:numId w:val="1001"/>
        </w:numPr>
        <w:pStyle w:val="Compact"/>
      </w:pPr>
      <w:r>
        <w:rPr>
          <w:bCs/>
          <w:b/>
        </w:rPr>
        <w:t xml:space="preserve">Payment Schedule:</w:t>
      </w:r>
      <w:r>
        <w:t xml:space="preserve"> </w:t>
      </w:r>
      <w:r>
        <w:t xml:space="preserve">Thirty percent (30%) advance payment upon confirmation of this Purchase Order by both parties. Forty percent (40%) upon delivery and acceptance of the second batch. The remaining thirty percent (30%) shall be paid within fifteen (15) business days following final delivery, inspection, and written acceptance by Mason's site quality assurance team.</w:t>
      </w:r>
    </w:p>
    <w:p>
      <w:pPr>
        <w:numPr>
          <w:ilvl w:val="0"/>
          <w:numId w:val="1001"/>
        </w:numPr>
        <w:pStyle w:val="Compact"/>
      </w:pPr>
      <w:r>
        <w:rPr>
          <w:bCs/>
          <w:b/>
        </w:rPr>
        <w:t xml:space="preserve">Currency:</w:t>
      </w:r>
      <w:r>
        <w:t xml:space="preserve"> </w:t>
      </w:r>
      <w:r>
        <w:t xml:space="preserve">All amounts are denominated in Chinese Yuan (CNY / RMB).</w:t>
      </w:r>
    </w:p>
    <w:p>
      <w:pPr>
        <w:numPr>
          <w:ilvl w:val="0"/>
          <w:numId w:val="1001"/>
        </w:numPr>
        <w:pStyle w:val="Compact"/>
      </w:pPr>
      <w:r>
        <w:rPr>
          <w:bCs/>
          <w:b/>
        </w:rPr>
        <w:t xml:space="preserve">Bank Details:</w:t>
      </w:r>
      <w:r>
        <w:t xml:space="preserve"> </w:t>
      </w:r>
      <w:r>
        <w:t xml:space="preserve">Supplier shall provide updated bank account information in writing prior to the first payment. Mason reserves the right to verify account details through a secondary confirmation call.</w:t>
      </w:r>
    </w:p>
    <w:bookmarkEnd w:id="24"/>
    <w:bookmarkStart w:id="25" w:name="quality-assurance-and-inspection"/>
    <w:p>
      <w:pPr>
        <w:pStyle w:val="Heading2"/>
      </w:pPr>
      <w:r>
        <w:t xml:space="preserve">5. Quality Assurance and Inspection</w:t>
      </w:r>
    </w:p>
    <w:p>
      <w:pPr>
        <w:pStyle w:val="FirstParagraph"/>
      </w:pPr>
      <w:r>
        <w:t xml:space="preserve">Mason Construction Materials Co., Ltd. requires that all masonry materials and construction supplies delivered under this Purchase Order meet or exceed the specifications outlined in Section 2 and comply with all applicable national standards of the People's Republic of China, including but not limited to GB 175 (Cement), GB/T 5101 (Bricks), and GB/T 14684 (Aggregates). Upon each delivery to the Guangzhou site, Mason's on-site quality inspectors shall conduct a visual and dimensional inspection within forty-eight (48) hours. Any non-conforming materials shall be rejected and must be replaced by the supplier at no additional cost to Mason within five (5) business days. The supplier shall provide all relevant material test certificates, mill certificates, and compliance documentation alongside each shipment.</w:t>
      </w:r>
    </w:p>
    <w:bookmarkEnd w:id="25"/>
    <w:bookmarkStart w:id="26" w:name="general-terms-and-conditions"/>
    <w:p>
      <w:pPr>
        <w:pStyle w:val="Heading2"/>
      </w:pPr>
      <w:r>
        <w:t xml:space="preserve">6. General Terms and Conditions</w:t>
      </w:r>
    </w:p>
    <w:p>
      <w:pPr>
        <w:numPr>
          <w:ilvl w:val="0"/>
          <w:numId w:val="1002"/>
        </w:numPr>
        <w:pStyle w:val="Compact"/>
      </w:pPr>
      <w:r>
        <w:t xml:space="preserve">This Purchase Order constitutes a binding agreement between Mason Construction Materials Co., Ltd. and Guangzhou Southern Building Supplies Group Co., Ltd. upon written acceptance by both parties.</w:t>
      </w:r>
    </w:p>
    <w:p>
      <w:pPr>
        <w:numPr>
          <w:ilvl w:val="0"/>
          <w:numId w:val="1002"/>
        </w:numPr>
        <w:pStyle w:val="Compact"/>
      </w:pPr>
      <w:r>
        <w:t xml:space="preserve">The supplier warrants that all goods are new, unused, and free from defects in material and workmanship for a period of twelve (12) months from the date of delivery.</w:t>
      </w:r>
    </w:p>
    <w:p>
      <w:pPr>
        <w:numPr>
          <w:ilvl w:val="0"/>
          <w:numId w:val="1002"/>
        </w:numPr>
        <w:pStyle w:val="Compact"/>
      </w:pPr>
      <w:r>
        <w:t xml:space="preserve">Any changes to the scope, quantity, or specifications of this Purchase Order must be made in writing and signed by authorized representatives of both Mason and the supplier.</w:t>
      </w:r>
    </w:p>
    <w:p>
      <w:pPr>
        <w:numPr>
          <w:ilvl w:val="0"/>
          <w:numId w:val="1002"/>
        </w:numPr>
        <w:pStyle w:val="Compact"/>
      </w:pPr>
      <w:r>
        <w:t xml:space="preserve">In the event of a dispute arising from this Purchase Order, the parties shall first attempt to resolve the matter through good-faith negotiation. If unresolved within thirty (30) days, the dispute shall be submitted to the Guangzhou Arbitration Commission in China Guangzhou for binding arbitration under its then-current rules.</w:t>
      </w:r>
    </w:p>
    <w:p>
      <w:pPr>
        <w:numPr>
          <w:ilvl w:val="0"/>
          <w:numId w:val="1002"/>
        </w:numPr>
        <w:pStyle w:val="Compact"/>
      </w:pPr>
      <w:r>
        <w:t xml:space="preserve">This Purchase Order is governed by the laws of the People's Republic of China.</w:t>
      </w:r>
    </w:p>
    <w:p>
      <w:pPr>
        <w:numPr>
          <w:ilvl w:val="0"/>
          <w:numId w:val="1002"/>
        </w:numPr>
        <w:pStyle w:val="Compact"/>
      </w:pPr>
      <w:r>
        <w:t xml:space="preserve">The supplier shall maintain adequate product liability insurance coverage for the duration of this Purchase Order and for twelve months thereafter.</w:t>
      </w:r>
    </w:p>
    <w:p>
      <w:pPr>
        <w:numPr>
          <w:ilvl w:val="0"/>
          <w:numId w:val="1002"/>
        </w:numPr>
        <w:pStyle w:val="Compact"/>
      </w:pPr>
      <w:r>
        <w:t xml:space="preserve">Mason reserves the right to cancel this Purchase Order in whole or in part with thirty (30) days' written notice, subject to payment for any materials already manufactured or procured specifically for this order.</w:t>
      </w:r>
    </w:p>
    <w:bookmarkEnd w:id="26"/>
    <w:bookmarkStart w:id="27" w:name="authorization-and-acceptance"/>
    <w:p>
      <w:pPr>
        <w:pStyle w:val="Heading2"/>
      </w:pPr>
      <w:r>
        <w:t xml:space="preserve">7. Authorization and Acceptance</w:t>
      </w:r>
    </w:p>
    <w:p>
      <w:pPr>
        <w:pStyle w:val="FirstParagraph"/>
      </w:pPr>
      <w:r>
        <w:t xml:space="preserve">By signing below, the authorized representatives of both parties confirm that they have read, understood, and agree to all terms, conditions, and specifications set forth in this Purchase Order. This document, together with any attached schedules or project drawings referenced herein, forms the complete agreement between Mason and the supplier regarding the procurement of masonry materials for the Mason Tower Phase II project in China Guangzhou.</w:t>
      </w:r>
    </w:p>
    <w:bookmarkEnd w:id="27"/>
    <w:p>
      <w:pPr>
        <w:pStyle w:val="BodyText"/>
      </w:pPr>
      <w:r>
        <w:rPr>
          <w:bCs/>
          <w:b/>
        </w:rPr>
        <w:t xml:space="preserve">For and on behalf of Mason Construction Materials Co., Ltd. (Buyer)</w:t>
      </w:r>
    </w:p>
    <w:p>
      <w:pPr>
        <w:pStyle w:val="BodyText"/>
      </w:pPr>
      <w:r>
        <w:t xml:space="preserve">Name: David Chen</w:t>
      </w:r>
    </w:p>
    <w:p>
      <w:pPr>
        <w:pStyle w:val="BodyText"/>
      </w:pPr>
      <w:r>
        <w:t xml:space="preserve">Title: Procurement Director</w:t>
      </w:r>
    </w:p>
    <w:p>
      <w:pPr>
        <w:pStyle w:val="BodyText"/>
      </w:pPr>
      <w:r>
        <w:t xml:space="preserve">Date: ____________________</w:t>
      </w:r>
    </w:p>
    <w:p>
      <w:pPr>
        <w:pStyle w:val="BodyText"/>
      </w:pPr>
      <w:r>
        <w:t xml:space="preserve">Company Seal:</w:t>
      </w:r>
    </w:p>
    <w:p>
      <w:pPr>
        <w:pStyle w:val="BodyText"/>
      </w:pPr>
      <w:r>
        <w:rPr>
          <w:bCs/>
          <w:b/>
        </w:rPr>
        <w:t xml:space="preserve">For and on behalf of Guangzhou Southern Building Supplies Group Co., Ltd. (Supplier)</w:t>
      </w:r>
    </w:p>
    <w:p>
      <w:pPr>
        <w:pStyle w:val="BodyText"/>
      </w:pPr>
      <w:r>
        <w:t xml:space="preserve">Name: Li Wei</w:t>
      </w:r>
    </w:p>
    <w:p>
      <w:pPr>
        <w:pStyle w:val="BodyText"/>
      </w:pPr>
      <w:r>
        <w:t xml:space="preserve">Title: Sales Manager</w:t>
      </w:r>
    </w:p>
    <w:p>
      <w:pPr>
        <w:pStyle w:val="BodyText"/>
      </w:pPr>
      <w:r>
        <w:t xml:space="preserve">Date: ____________________</w:t>
      </w:r>
    </w:p>
    <w:p>
      <w:pPr>
        <w:pStyle w:val="BodyText"/>
      </w:pPr>
      <w:r>
        <w:t xml:space="preserve">Company Seal:</w:t>
      </w:r>
    </w:p>
    <w:p>
      <w:pPr>
        <w:pStyle w:val="BodyText"/>
      </w:pPr>
      <w:r>
        <w:t xml:space="preserve">Purchase Order No. PO-MGZ-2025-04187 | Issued by Mason Construction Materials Co., Ltd., Guangzhou, China</w:t>
      </w:r>
    </w:p>
    <w:p>
      <w:pPr>
        <w:pStyle w:val="BodyText"/>
      </w:pPr>
      <w:r>
        <w:t xml:space="preserve">This document is the property of Mason.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Materials - China Guangzhou</dc:title>
  <dc:creator/>
  <dc:language>en</dc:language>
  <cp:keywords/>
  <dcterms:created xsi:type="dcterms:W3CDTF">2026-10-10T01:20:20Z</dcterms:created>
  <dcterms:modified xsi:type="dcterms:W3CDTF">2026-10-10T01:20:20Z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