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Materials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Mason &amp; Masonry Construction Materials</w:t>
      </w:r>
    </w:p>
    <w:p>
      <w:pPr>
        <w:pStyle w:val="BodyText"/>
      </w:pPr>
      <w:r>
        <w:t xml:space="preserve">Colombia Medellín – Antioquia Department</w:t>
      </w:r>
    </w:p>
    <w:p>
      <w:pPr>
        <w:pStyle w:val="BodyText"/>
      </w:pPr>
      <w:r>
        <w:t xml:space="preserve">ACTIVE</w:t>
      </w:r>
    </w:p>
    <w:bookmarkEnd w:id="20"/>
    <w:p>
      <w:pPr>
        <w:pStyle w:val="BodyText"/>
      </w:pPr>
      <w:r>
        <w:rPr>
          <w:bCs/>
          <w:b/>
        </w:rPr>
        <w:t xml:space="preserve">Purchase Order No.:</w:t>
      </w:r>
      <w:r>
        <w:t xml:space="preserve"> </w:t>
      </w:r>
      <w:r>
        <w:t xml:space="preserve">PO-MED-2025-04872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04, 2025</w:t>
      </w:r>
    </w:p>
    <w:p>
      <w:pPr>
        <w:pStyle w:val="BodyText"/>
      </w:pPr>
      <w:r>
        <w:rPr>
          <w:bCs/>
          <w:b/>
        </w:rPr>
        <w:t xml:space="preserve">Project Reference:</w:t>
      </w:r>
      <w:r>
        <w:t xml:space="preserve"> </w:t>
      </w:r>
      <w:r>
        <w:t xml:space="preserve">MED-MASON-2025-BLDG-14</w:t>
      </w:r>
      <w:r>
        <w:br/>
      </w:r>
      <w:r>
        <w:rPr>
          <w:bCs/>
          <w:b/>
        </w:rPr>
        <w:t xml:space="preserve">Payment Terms:</w:t>
      </w:r>
      <w:r>
        <w:t xml:space="preserve"> </w:t>
      </w:r>
      <w:r>
        <w:t xml:space="preserve">Net 30 Days</w:t>
      </w:r>
      <w:r>
        <w:br/>
      </w:r>
      <w:r>
        <w:rPr>
          <w:bCs/>
          <w:b/>
        </w:rPr>
        <w:t xml:space="preserve">Currency:</w:t>
      </w:r>
      <w:r>
        <w:t xml:space="preserve"> </w:t>
      </w:r>
      <w:r>
        <w:t xml:space="preserve">Colombian Peso (COP)</w:t>
      </w:r>
    </w:p>
    <w:p>
      <w:pPr>
        <w:pStyle w:val="BodyText"/>
      </w:pPr>
      <w:r>
        <w:t xml:space="preserve">BUYER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Constructora Andina del Valle S.A.S.</w:t>
            </w:r>
          </w:p>
        </w:tc>
      </w:tr>
      <w:tr>
        <w:tc>
          <w:tcPr/>
          <w:p>
            <w:pPr>
              <w:pStyle w:val="Compact"/>
              <w:jc w:val="left"/>
            </w:pPr>
            <w:r>
              <w:rPr>
                <w:bCs/>
                <w:b/>
              </w:rPr>
              <w:t xml:space="preserve">Address:</w:t>
            </w:r>
            <w:r>
              <w:t xml:space="preserve"> </w:t>
            </w:r>
            <w:r>
              <w:t xml:space="preserve">Calle 43 # 45A-12, Barrio El Poblado, Medellín, Antioquia, Colombia</w:t>
            </w:r>
          </w:p>
        </w:tc>
      </w:tr>
      <w:tr>
        <w:tc>
          <w:tcPr/>
          <w:p>
            <w:pPr>
              <w:pStyle w:val="Compact"/>
              <w:jc w:val="left"/>
            </w:pPr>
            <w:r>
              <w:rPr>
                <w:bCs/>
                <w:b/>
              </w:rPr>
              <w:t xml:space="preserve">NIT:</w:t>
            </w:r>
            <w:r>
              <w:t xml:space="preserve"> </w:t>
            </w:r>
            <w:r>
              <w:t xml:space="preserve">900.456.789-1</w:t>
            </w:r>
          </w:p>
        </w:tc>
      </w:tr>
      <w:tr>
        <w:tc>
          <w:tcPr/>
          <w:p>
            <w:pPr>
              <w:pStyle w:val="Compact"/>
              <w:jc w:val="left"/>
            </w:pPr>
            <w:r>
              <w:rPr>
                <w:bCs/>
                <w:b/>
              </w:rPr>
              <w:t xml:space="preserve">Contact Person:</w:t>
            </w:r>
            <w:r>
              <w:t xml:space="preserve"> </w:t>
            </w:r>
            <w:r>
              <w:t xml:space="preserve">Ing. Carlos Alberto Restrepo – Project Director</w:t>
            </w:r>
          </w:p>
        </w:tc>
      </w:tr>
      <w:tr>
        <w:tc>
          <w:tcPr/>
          <w:p>
            <w:pPr>
              <w:pStyle w:val="Compact"/>
              <w:jc w:val="left"/>
            </w:pPr>
            <w:r>
              <w:rPr>
                <w:bCs/>
                <w:b/>
              </w:rPr>
              <w:t xml:space="preserve">Email:</w:t>
            </w:r>
            <w:r>
              <w:t xml:space="preserve"> </w:t>
            </w:r>
            <w:r>
              <w:t xml:space="preserve">compras@constructoraandina.co</w:t>
            </w:r>
          </w:p>
        </w:tc>
      </w:tr>
      <w:tr>
        <w:tc>
          <w:tcPr/>
          <w:p>
            <w:pPr>
              <w:pStyle w:val="Compact"/>
              <w:jc w:val="left"/>
            </w:pPr>
            <w:r>
              <w:rPr>
                <w:bCs/>
                <w:b/>
              </w:rPr>
              <w:t xml:space="preserve">Phone:</w:t>
            </w:r>
            <w:r>
              <w:t xml:space="preserve"> </w:t>
            </w:r>
            <w:r>
              <w:t xml:space="preserve">+57 (604) 445 8921</w:t>
            </w:r>
          </w:p>
        </w:tc>
      </w:tr>
    </w:tbl>
    <w:p>
      <w:pPr>
        <w:pStyle w:val="BodyText"/>
      </w:pPr>
      <w:r>
        <w:t xml:space="preserve">SUPPLIER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Materiales de Construcción El Maestro Ltda.</w:t>
            </w:r>
          </w:p>
        </w:tc>
      </w:tr>
      <w:tr>
        <w:tc>
          <w:tcPr/>
          <w:p>
            <w:pPr>
              <w:pStyle w:val="Compact"/>
              <w:jc w:val="left"/>
            </w:pPr>
            <w:r>
              <w:rPr>
                <w:bCs/>
                <w:b/>
              </w:rPr>
              <w:t xml:space="preserve">Address:</w:t>
            </w:r>
            <w:r>
              <w:t xml:space="preserve"> </w:t>
            </w:r>
            <w:r>
              <w:t xml:space="preserve">Cra. 50 # 25-30, Barrio La Candelaria, Medellín, Antioquia, Colombia</w:t>
            </w:r>
          </w:p>
        </w:tc>
      </w:tr>
      <w:tr>
        <w:tc>
          <w:tcPr/>
          <w:p>
            <w:pPr>
              <w:pStyle w:val="Compact"/>
              <w:jc w:val="left"/>
            </w:pPr>
            <w:r>
              <w:rPr>
                <w:bCs/>
                <w:b/>
              </w:rPr>
              <w:t xml:space="preserve">NIT:</w:t>
            </w:r>
            <w:r>
              <w:t xml:space="preserve"> </w:t>
            </w:r>
            <w:r>
              <w:t xml:space="preserve">830.123.456-7</w:t>
            </w:r>
          </w:p>
        </w:tc>
      </w:tr>
      <w:tr>
        <w:tc>
          <w:tcPr/>
          <w:p>
            <w:pPr>
              <w:pStyle w:val="Compact"/>
              <w:jc w:val="left"/>
            </w:pPr>
            <w:r>
              <w:rPr>
                <w:bCs/>
                <w:b/>
              </w:rPr>
              <w:t xml:space="preserve">Contact Person:</w:t>
            </w:r>
            <w:r>
              <w:t xml:space="preserve"> </w:t>
            </w:r>
            <w:r>
              <w:t xml:space="preserve">Sr. Juan Pablo Martínez – Sales Manager</w:t>
            </w:r>
          </w:p>
        </w:tc>
      </w:tr>
      <w:tr>
        <w:tc>
          <w:tcPr/>
          <w:p>
            <w:pPr>
              <w:pStyle w:val="Compact"/>
              <w:jc w:val="left"/>
            </w:pPr>
            <w:r>
              <w:rPr>
                <w:bCs/>
                <w:b/>
              </w:rPr>
              <w:t xml:space="preserve">Email:</w:t>
            </w:r>
            <w:r>
              <w:t xml:space="preserve"> </w:t>
            </w:r>
            <w:r>
              <w:t xml:space="preserve">ventas@elmestromateriales.co</w:t>
            </w:r>
          </w:p>
        </w:tc>
      </w:tr>
      <w:tr>
        <w:tc>
          <w:tcPr/>
          <w:p>
            <w:pPr>
              <w:pStyle w:val="Compact"/>
              <w:jc w:val="left"/>
            </w:pPr>
            <w:r>
              <w:rPr>
                <w:bCs/>
                <w:b/>
              </w:rPr>
              <w:t xml:space="preserve">Phone:</w:t>
            </w:r>
            <w:r>
              <w:t xml:space="preserve"> </w:t>
            </w:r>
            <w:r>
              <w:t xml:space="preserve">+57 (604) 362 7745</w:t>
            </w:r>
          </w:p>
        </w:tc>
      </w:tr>
    </w:tbl>
    <w:p>
      <w:pPr>
        <w:pStyle w:val="BodyText"/>
      </w:pPr>
      <w:r>
        <w:t xml:space="preserve">LINE ITEMS – MASON MATERIALS FOR CONSTRUCTION PROJECT IN MEDELLÍN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Mason blocks (hollow concrete, 15x20x40 cm) – Grade A, for structural masonry walls</w:t>
            </w:r>
          </w:p>
        </w:tc>
        <w:tc>
          <w:tcPr/>
          <w:p>
            <w:pPr>
              <w:pStyle w:val="Compact"/>
              <w:jc w:val="left"/>
            </w:pPr>
            <w:r>
              <w:t xml:space="preserve">Each</w:t>
            </w:r>
          </w:p>
        </w:tc>
        <w:tc>
          <w:tcPr/>
          <w:p>
            <w:pPr>
              <w:pStyle w:val="Compact"/>
              <w:jc w:val="left"/>
            </w:pPr>
            <w:r>
              <w:t xml:space="preserve">12,500</w:t>
            </w:r>
          </w:p>
        </w:tc>
        <w:tc>
          <w:tcPr/>
          <w:p>
            <w:pPr>
              <w:pStyle w:val="Compact"/>
              <w:jc w:val="left"/>
            </w:pPr>
            <w:r>
              <w:t xml:space="preserve">4,850</w:t>
            </w:r>
          </w:p>
        </w:tc>
        <w:tc>
          <w:tcPr/>
          <w:p>
            <w:pPr>
              <w:pStyle w:val="Compact"/>
              <w:jc w:val="left"/>
            </w:pPr>
            <w:r>
              <w:t xml:space="preserve">60,625,000</w:t>
            </w:r>
          </w:p>
        </w:tc>
      </w:tr>
      <w:tr>
        <w:tc>
          <w:tcPr/>
          <w:p>
            <w:pPr>
              <w:pStyle w:val="Compact"/>
              <w:jc w:val="left"/>
            </w:pPr>
            <w:r>
              <w:t xml:space="preserve">2</w:t>
            </w:r>
          </w:p>
        </w:tc>
        <w:tc>
          <w:tcPr/>
          <w:p>
            <w:pPr>
              <w:pStyle w:val="Compact"/>
              <w:jc w:val="left"/>
            </w:pPr>
            <w:r>
              <w:t xml:space="preserve">Mason blocks (solid concrete, 10x20x40 cm) – for load-bearing mason partitions</w:t>
            </w:r>
          </w:p>
        </w:tc>
        <w:tc>
          <w:tcPr/>
          <w:p>
            <w:pPr>
              <w:pStyle w:val="Compact"/>
              <w:jc w:val="left"/>
            </w:pPr>
            <w:r>
              <w:t xml:space="preserve">Each</w:t>
            </w:r>
          </w:p>
        </w:tc>
        <w:tc>
          <w:tcPr/>
          <w:p>
            <w:pPr>
              <w:pStyle w:val="Compact"/>
              <w:jc w:val="left"/>
            </w:pPr>
            <w:r>
              <w:t xml:space="preserve">8,200</w:t>
            </w:r>
          </w:p>
        </w:tc>
        <w:tc>
          <w:tcPr/>
          <w:p>
            <w:pPr>
              <w:pStyle w:val="Compact"/>
              <w:jc w:val="left"/>
            </w:pPr>
            <w:r>
              <w:t xml:space="preserve">5,300</w:t>
            </w:r>
          </w:p>
        </w:tc>
        <w:tc>
          <w:tcPr/>
          <w:p>
            <w:pPr>
              <w:pStyle w:val="Compact"/>
              <w:jc w:val="left"/>
            </w:pPr>
            <w:r>
              <w:t xml:space="preserve">43,460,000</w:t>
            </w:r>
          </w:p>
        </w:tc>
      </w:tr>
      <w:tr>
        <w:tc>
          <w:tcPr/>
          <w:p>
            <w:pPr>
              <w:pStyle w:val="Compact"/>
              <w:jc w:val="left"/>
            </w:pPr>
            <w:r>
              <w:t xml:space="preserve">3</w:t>
            </w:r>
          </w:p>
        </w:tc>
        <w:tc>
          <w:tcPr/>
          <w:p>
            <w:pPr>
              <w:pStyle w:val="Compact"/>
              <w:jc w:val="left"/>
            </w:pPr>
            <w:r>
              <w:t xml:space="preserve">Portland cement Type I (50 kg bags) – for mason mortar preparation</w:t>
            </w:r>
          </w:p>
        </w:tc>
        <w:tc>
          <w:tcPr/>
          <w:p>
            <w:pPr>
              <w:pStyle w:val="Compact"/>
              <w:jc w:val="left"/>
            </w:pPr>
            <w:r>
              <w:t xml:space="preserve">Bag</w:t>
            </w:r>
          </w:p>
        </w:tc>
        <w:tc>
          <w:tcPr/>
          <w:p>
            <w:pPr>
              <w:pStyle w:val="Compact"/>
              <w:jc w:val="left"/>
            </w:pPr>
            <w:r>
              <w:t xml:space="preserve">3,400</w:t>
            </w:r>
          </w:p>
        </w:tc>
        <w:tc>
          <w:tcPr/>
          <w:p>
            <w:pPr>
              <w:pStyle w:val="Compact"/>
              <w:jc w:val="left"/>
            </w:pPr>
            <w:r>
              <w:t xml:space="preserve">42,000</w:t>
            </w:r>
          </w:p>
        </w:tc>
        <w:tc>
          <w:tcPr/>
          <w:p>
            <w:pPr>
              <w:pStyle w:val="Compact"/>
              <w:jc w:val="left"/>
            </w:pPr>
            <w:r>
              <w:t xml:space="preserve">142,800,000</w:t>
            </w:r>
          </w:p>
        </w:tc>
      </w:tr>
      <w:tr>
        <w:tc>
          <w:tcPr/>
          <w:p>
            <w:pPr>
              <w:pStyle w:val="Compact"/>
              <w:jc w:val="left"/>
            </w:pPr>
            <w:r>
              <w:t xml:space="preserve">4</w:t>
            </w:r>
          </w:p>
        </w:tc>
        <w:tc>
          <w:tcPr/>
          <w:p>
            <w:pPr>
              <w:pStyle w:val="Compact"/>
              <w:jc w:val="left"/>
            </w:pPr>
            <w:r>
              <w:t xml:space="preserve">Washed river sand (fine grade) – for mason mortar and leveling</w:t>
            </w:r>
          </w:p>
        </w:tc>
        <w:tc>
          <w:tcPr/>
          <w:p>
            <w:pPr>
              <w:pStyle w:val="Compact"/>
              <w:jc w:val="left"/>
            </w:pPr>
            <w:r>
              <w:t xml:space="preserve">Cubic meter</w:t>
            </w:r>
          </w:p>
        </w:tc>
        <w:tc>
          <w:tcPr/>
          <w:p>
            <w:pPr>
              <w:pStyle w:val="Compact"/>
              <w:jc w:val="left"/>
            </w:pPr>
            <w:r>
              <w:t xml:space="preserve">185</w:t>
            </w:r>
          </w:p>
        </w:tc>
        <w:tc>
          <w:tcPr/>
          <w:p>
            <w:pPr>
              <w:pStyle w:val="Compact"/>
              <w:jc w:val="left"/>
            </w:pPr>
            <w:r>
              <w:t xml:space="preserve">85,000</w:t>
            </w:r>
          </w:p>
        </w:tc>
        <w:tc>
          <w:tcPr/>
          <w:p>
            <w:pPr>
              <w:pStyle w:val="Compact"/>
              <w:jc w:val="left"/>
            </w:pPr>
            <w:r>
              <w:t xml:space="preserve">15,725,000</w:t>
            </w:r>
          </w:p>
        </w:tc>
      </w:tr>
      <w:tr>
        <w:tc>
          <w:tcPr/>
          <w:p>
            <w:pPr>
              <w:pStyle w:val="Compact"/>
              <w:jc w:val="left"/>
            </w:pPr>
            <w:r>
              <w:t xml:space="preserve">5</w:t>
            </w:r>
          </w:p>
        </w:tc>
        <w:tc>
          <w:tcPr/>
          <w:p>
            <w:pPr>
              <w:pStyle w:val="Compact"/>
              <w:jc w:val="left"/>
            </w:pPr>
            <w:r>
              <w:t xml:space="preserve">Crushed aggregate 3/4 inch – for mason foundation and footing work</w:t>
            </w:r>
          </w:p>
        </w:tc>
        <w:tc>
          <w:tcPr/>
          <w:p>
            <w:pPr>
              <w:pStyle w:val="Compact"/>
              <w:jc w:val="left"/>
            </w:pPr>
            <w:r>
              <w:t xml:space="preserve">Cubic meter</w:t>
            </w:r>
          </w:p>
        </w:tc>
        <w:tc>
          <w:tcPr/>
          <w:p>
            <w:pPr>
              <w:pStyle w:val="Compact"/>
              <w:jc w:val="left"/>
            </w:pPr>
            <w:r>
              <w:t xml:space="preserve">95</w:t>
            </w:r>
          </w:p>
        </w:tc>
        <w:tc>
          <w:tcPr/>
          <w:p>
            <w:pPr>
              <w:pStyle w:val="Compact"/>
              <w:jc w:val="left"/>
            </w:pPr>
            <w:r>
              <w:t xml:space="preserve">110,000</w:t>
            </w:r>
          </w:p>
        </w:tc>
        <w:tc>
          <w:tcPr/>
          <w:p>
            <w:pPr>
              <w:pStyle w:val="Compact"/>
              <w:jc w:val="left"/>
            </w:pPr>
            <w:r>
              <w:t xml:space="preserve">10,450,000</w:t>
            </w:r>
          </w:p>
        </w:tc>
      </w:tr>
      <w:tr>
        <w:tc>
          <w:tcPr/>
          <w:p>
            <w:pPr>
              <w:pStyle w:val="Compact"/>
              <w:jc w:val="left"/>
            </w:pPr>
            <w:r>
              <w:t xml:space="preserve">6</w:t>
            </w:r>
          </w:p>
        </w:tc>
        <w:tc>
          <w:tcPr/>
          <w:p>
            <w:pPr>
              <w:pStyle w:val="Compact"/>
              <w:jc w:val="left"/>
            </w:pPr>
            <w:r>
              <w:t xml:space="preserve">Wire mesh (galvanized, 1/4 inch) – for mason reinforcement in walls</w:t>
            </w:r>
          </w:p>
        </w:tc>
        <w:tc>
          <w:tcPr/>
          <w:p>
            <w:pPr>
              <w:pStyle w:val="Compact"/>
              <w:jc w:val="left"/>
            </w:pPr>
            <w:r>
              <w:t xml:space="preserve">Roll (50m)</w:t>
            </w:r>
          </w:p>
        </w:tc>
        <w:tc>
          <w:tcPr/>
          <w:p>
            <w:pPr>
              <w:pStyle w:val="Compact"/>
              <w:jc w:val="left"/>
            </w:pPr>
            <w:r>
              <w:t xml:space="preserve">220</w:t>
            </w:r>
          </w:p>
        </w:tc>
        <w:tc>
          <w:tcPr/>
          <w:p>
            <w:pPr>
              <w:pStyle w:val="Compact"/>
              <w:jc w:val="left"/>
            </w:pPr>
            <w:r>
              <w:t xml:space="preserve">185,000</w:t>
            </w:r>
          </w:p>
        </w:tc>
        <w:tc>
          <w:tcPr/>
          <w:p>
            <w:pPr>
              <w:pStyle w:val="Compact"/>
              <w:jc w:val="left"/>
            </w:pPr>
            <w:r>
              <w:t xml:space="preserve">40,700,000</w:t>
            </w:r>
          </w:p>
        </w:tc>
      </w:tr>
      <w:tr>
        <w:tc>
          <w:tcPr/>
          <w:p>
            <w:pPr>
              <w:pStyle w:val="Compact"/>
              <w:jc w:val="left"/>
            </w:pPr>
            <w:r>
              <w:t xml:space="preserve">7</w:t>
            </w:r>
          </w:p>
        </w:tc>
        <w:tc>
          <w:tcPr/>
          <w:p>
            <w:pPr>
              <w:pStyle w:val="Compact"/>
              <w:jc w:val="left"/>
            </w:pPr>
            <w:r>
              <w:t xml:space="preserve">Waterproofing compound for mason exterior facades – 25 kg pail</w:t>
            </w:r>
          </w:p>
        </w:tc>
        <w:tc>
          <w:tcPr/>
          <w:p>
            <w:pPr>
              <w:pStyle w:val="Compact"/>
              <w:jc w:val="left"/>
            </w:pPr>
            <w:r>
              <w:t xml:space="preserve">Pail</w:t>
            </w:r>
          </w:p>
        </w:tc>
        <w:tc>
          <w:tcPr/>
          <w:p>
            <w:pPr>
              <w:pStyle w:val="Compact"/>
              <w:jc w:val="left"/>
            </w:pPr>
            <w:r>
              <w:t xml:space="preserve">150</w:t>
            </w:r>
          </w:p>
        </w:tc>
        <w:tc>
          <w:tcPr/>
          <w:p>
            <w:pPr>
              <w:pStyle w:val="Compact"/>
              <w:jc w:val="left"/>
            </w:pPr>
            <w:r>
              <w:t xml:space="preserve">98,000</w:t>
            </w:r>
          </w:p>
        </w:tc>
        <w:tc>
          <w:tcPr/>
          <w:p>
            <w:pPr>
              <w:pStyle w:val="Compact"/>
              <w:jc w:val="left"/>
            </w:pPr>
            <w:r>
              <w:t xml:space="preserve">14,700,000</w:t>
            </w:r>
          </w:p>
        </w:tc>
      </w:tr>
      <w:tr>
        <w:tc>
          <w:tcPr/>
          <w:p>
            <w:pPr>
              <w:pStyle w:val="Compact"/>
              <w:jc w:val="left"/>
            </w:pPr>
            <w:r>
              <w:t xml:space="preserve">8</w:t>
            </w:r>
          </w:p>
        </w:tc>
        <w:tc>
          <w:tcPr/>
          <w:p>
            <w:pPr>
              <w:pStyle w:val="Compact"/>
              <w:jc w:val="left"/>
            </w:pPr>
            <w:r>
              <w:t xml:space="preserve">Steel rebar #4 (12.5 mm, 12 m length) – for mason lintels and ring beams</w:t>
            </w:r>
          </w:p>
        </w:tc>
        <w:tc>
          <w:tcPr/>
          <w:p>
            <w:pPr>
              <w:pStyle w:val="Compact"/>
              <w:jc w:val="left"/>
            </w:pPr>
            <w:r>
              <w:t xml:space="preserve">Bar</w:t>
            </w:r>
          </w:p>
        </w:tc>
        <w:tc>
          <w:tcPr/>
          <w:p>
            <w:pPr>
              <w:pStyle w:val="Compact"/>
              <w:jc w:val="left"/>
            </w:pPr>
            <w:r>
              <w:t xml:space="preserve">1,800</w:t>
            </w:r>
          </w:p>
        </w:tc>
        <w:tc>
          <w:tcPr/>
          <w:p>
            <w:pPr>
              <w:pStyle w:val="Compact"/>
              <w:jc w:val="left"/>
            </w:pPr>
            <w:r>
              <w:t xml:space="preserve">38,500</w:t>
            </w:r>
          </w:p>
        </w:tc>
        <w:tc>
          <w:tcPr/>
          <w:p>
            <w:pPr>
              <w:pStyle w:val="Compact"/>
              <w:jc w:val="left"/>
            </w:pPr>
            <w:r>
              <w:t xml:space="preserve">69,300,000</w:t>
            </w:r>
          </w:p>
        </w:tc>
      </w:tr>
      <w:tr>
        <w:tc>
          <w:tcPr>
            <w:gridSpan w:val="5"/>
          </w:tcPr>
          <w:p>
            <w:pPr>
              <w:pStyle w:val="Compact"/>
              <w:jc w:val="right"/>
            </w:pPr>
            <w:r>
              <w:t xml:space="preserve">SUBTOTAL</w:t>
            </w:r>
          </w:p>
        </w:tc>
        <w:tc>
          <w:tcPr/>
          <w:p>
            <w:pPr>
              <w:pStyle w:val="Compact"/>
              <w:jc w:val="left"/>
            </w:pPr>
            <w:r>
              <w:t xml:space="preserve">397,760,000</w:t>
            </w:r>
          </w:p>
        </w:tc>
      </w:tr>
      <w:tr>
        <w:tc>
          <w:tcPr>
            <w:gridSpan w:val="5"/>
          </w:tcPr>
          <w:p>
            <w:pPr>
              <w:pStyle w:val="Compact"/>
              <w:jc w:val="right"/>
            </w:pPr>
            <w:r>
              <w:t xml:space="preserve">IVA (19% VAT – Colombia)</w:t>
            </w:r>
          </w:p>
        </w:tc>
        <w:tc>
          <w:tcPr/>
          <w:p>
            <w:pPr>
              <w:pStyle w:val="Compact"/>
              <w:jc w:val="left"/>
            </w:pPr>
            <w:r>
              <w:t xml:space="preserve">75,574,400</w:t>
            </w:r>
          </w:p>
        </w:tc>
      </w:tr>
      <w:tr>
        <w:tc>
          <w:tcPr>
            <w:gridSpan w:val="5"/>
          </w:tcPr>
          <w:p>
            <w:pPr>
              <w:pStyle w:val="Compact"/>
              <w:jc w:val="right"/>
            </w:pPr>
            <w:r>
              <w:t xml:space="preserve">DELIVERY &amp; LOGISTICS (Medellín Metro Area)</w:t>
            </w:r>
          </w:p>
        </w:tc>
        <w:tc>
          <w:tcPr/>
          <w:p>
            <w:pPr>
              <w:pStyle w:val="Compact"/>
              <w:jc w:val="left"/>
            </w:pPr>
            <w:r>
              <w:t xml:space="preserve">8,500,000</w:t>
            </w:r>
          </w:p>
        </w:tc>
      </w:tr>
      <w:tr>
        <w:tc>
          <w:tcPr>
            <w:gridSpan w:val="5"/>
          </w:tcPr>
          <w:p>
            <w:pPr>
              <w:pStyle w:val="Compact"/>
              <w:jc w:val="right"/>
            </w:pPr>
            <w:r>
              <w:t xml:space="preserve">GRAND TOTAL</w:t>
            </w:r>
          </w:p>
        </w:tc>
        <w:tc>
          <w:tcPr/>
          <w:p>
            <w:pPr>
              <w:pStyle w:val="Compact"/>
              <w:jc w:val="left"/>
            </w:pPr>
            <w:r>
              <w:t xml:space="preserve">481,834,400</w:t>
            </w:r>
          </w:p>
        </w:tc>
      </w:tr>
    </w:tbl>
    <w:p>
      <w:pPr>
        <w:pStyle w:val="BodyText"/>
      </w:pPr>
      <w:r>
        <w:t xml:space="preserve">TERMS AND CONDITIONS</w:t>
      </w:r>
    </w:p>
    <w:p>
      <w:pPr>
        <w:numPr>
          <w:ilvl w:val="0"/>
          <w:numId w:val="1001"/>
        </w:numPr>
        <w:pStyle w:val="Compact"/>
      </w:pPr>
      <w:r>
        <w:rPr>
          <w:bCs/>
          <w:b/>
        </w:rPr>
        <w:t xml:space="preserve">Scope of Purchase:</w:t>
      </w:r>
      <w:r>
        <w:t xml:space="preserve"> </w:t>
      </w:r>
      <w:r>
        <w:t xml:space="preserve">This Purchase Order covers the supply of all mason and masonry materials listed above for the construction of a six-story residential building located in the Envigado corridor, Medellín, Colombia. All mason blocks must comply with the Colombian technical standard NTC 402 for masonry units and NTC 150 for Portland cement.</w:t>
      </w:r>
    </w:p>
    <w:p>
      <w:pPr>
        <w:numPr>
          <w:ilvl w:val="0"/>
          <w:numId w:val="1001"/>
        </w:numPr>
        <w:pStyle w:val="Compact"/>
      </w:pPr>
      <w:r>
        <w:rPr>
          <w:bCs/>
          <w:b/>
        </w:rPr>
        <w:t xml:space="preserve">Delivery Location:</w:t>
      </w:r>
      <w:r>
        <w:t xml:space="preserve"> </w:t>
      </w:r>
      <w:r>
        <w:t xml:space="preserve">All mason materials shall be delivered to the construction site at Calle 30 # 48-22, Barrio La Floresta, Medellín, Antioquia, Colombia. The supplier is responsible for all transportation, loading, and unloading within the Medellín metropolitan area. Delivery must be completed no later than July 04, 2025, in three scheduled lots.</w:t>
      </w:r>
    </w:p>
    <w:p>
      <w:pPr>
        <w:numPr>
          <w:ilvl w:val="0"/>
          <w:numId w:val="1001"/>
        </w:numPr>
        <w:pStyle w:val="Compact"/>
      </w:pPr>
      <w:r>
        <w:rPr>
          <w:bCs/>
          <w:b/>
        </w:rPr>
        <w:t xml:space="preserve">Quality Assurance:</w:t>
      </w:r>
      <w:r>
        <w:t xml:space="preserve"> </w:t>
      </w:r>
      <w:r>
        <w:t xml:space="preserve">The supplier guarantees that all mason blocks, cement, and aggregate materials meet or exceed the specifications outlined in the Colombian National Construction Code (Código Técnico de la Construcción). Certificates of conformity and batch test reports must accompany each delivery of mason materials.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via bank transfer to the supplier's account in Colombian Pesos (COP). A 2% discount applies if payment is made within fifteen (15) days. Late payments shall accrue interest at the maximum rate established by the Superintendencia Financiera de Colombia.</w:t>
      </w:r>
    </w:p>
    <w:p>
      <w:pPr>
        <w:numPr>
          <w:ilvl w:val="0"/>
          <w:numId w:val="1001"/>
        </w:numPr>
        <w:pStyle w:val="Compact"/>
      </w:pPr>
      <w:r>
        <w:rPr>
          <w:bCs/>
          <w:b/>
        </w:rPr>
        <w:t xml:space="preserve">Acceptance and Inspection:</w:t>
      </w:r>
      <w:r>
        <w:t xml:space="preserve"> </w:t>
      </w:r>
      <w:r>
        <w:t xml:space="preserve">Upon delivery, the buyer's site engineer in Medellín will inspect all mason materials for quantity, grade, and visible defects. Any mason blocks with cracks exceeding 3 mm, cement bags with moisture damage, or aggregate with excessive fines will be rejected and must be replaced within five (5) business days at the supplier's expense.</w:t>
      </w:r>
    </w:p>
    <w:p>
      <w:pPr>
        <w:numPr>
          <w:ilvl w:val="0"/>
          <w:numId w:val="1001"/>
        </w:numPr>
        <w:pStyle w:val="Compact"/>
      </w:pPr>
      <w:r>
        <w:rPr>
          <w:bCs/>
          <w:b/>
        </w:rPr>
        <w:t xml:space="preserve">Warranty:</w:t>
      </w:r>
      <w:r>
        <w:t xml:space="preserve"> </w:t>
      </w:r>
      <w:r>
        <w:t xml:space="preserve">The supplier provides a twelve (12) month warranty on all mason blocks and cement against manufacturing defects. The warranty is valid from the date of delivery at the Medellín construction site.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work stoppages in Antioquia, or supply chain disruptions affecting the Medellín region.</w:t>
      </w:r>
    </w:p>
    <w:p>
      <w:pPr>
        <w:numPr>
          <w:ilvl w:val="0"/>
          <w:numId w:val="1001"/>
        </w:numPr>
        <w:pStyle w:val="Compact"/>
      </w:pPr>
      <w:r>
        <w:rPr>
          <w:bCs/>
          <w:b/>
        </w:rPr>
        <w:t xml:space="preserve">Governing Law:</w:t>
      </w:r>
      <w:r>
        <w:t xml:space="preserve"> </w:t>
      </w:r>
      <w:r>
        <w:t xml:space="preserve">This Purchase Order shall be governed by the commercial laws of the Republic of Colombia. Any disputes arising from this agreement shall be resolved through the commercial courts of Medellín, Antioquia, Colombia.</w:t>
      </w:r>
    </w:p>
    <w:p>
      <w:pPr>
        <w:numPr>
          <w:ilvl w:val="0"/>
          <w:numId w:val="1001"/>
        </w:numPr>
        <w:pStyle w:val="Compact"/>
      </w:pPr>
      <w:r>
        <w:rPr>
          <w:bCs/>
          <w:b/>
        </w:rPr>
        <w:t xml:space="preserve">Environmental Compliance:</w:t>
      </w:r>
      <w:r>
        <w:t xml:space="preserve"> </w:t>
      </w:r>
      <w:r>
        <w:t xml:space="preserve">All mason materials must be sourced in compliance with Colombian environmental regulations (Ley 99 de 1993). The supplier must provide documentation confirming that aggregate and sand extraction was conducted under valid environmental permits issued by the Corporación Autónoma Regional del Valle de Aburrá (CRA).</w:t>
      </w:r>
    </w:p>
    <w:p>
      <w:pPr>
        <w:numPr>
          <w:ilvl w:val="0"/>
          <w:numId w:val="1001"/>
        </w:numPr>
        <w:pStyle w:val="Compact"/>
      </w:pPr>
      <w:r>
        <w:rPr>
          <w:bCs/>
          <w:b/>
        </w:rPr>
        <w:t xml:space="preserve">Validity:</w:t>
      </w:r>
      <w:r>
        <w:t xml:space="preserve"> </w:t>
      </w:r>
      <w:r>
        <w:t xml:space="preserve">This Purchase Order is valid for sixty (60) days from the date of issue. If the supplier does not confirm acceptance in writing within ten (10) business days, this PO shall be considered void.</w:t>
      </w:r>
    </w:p>
    <w:p>
      <w:pPr>
        <w:pStyle w:val="FirstParagraph"/>
      </w:pPr>
      <w:r>
        <w:t xml:space="preserve">SCHEDULED DELIVERY LOTS – MEDELLÍN SITE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Lot</w:t>
            </w:r>
          </w:p>
        </w:tc>
        <w:tc>
          <w:tcPr/>
          <w:p>
            <w:pPr>
              <w:pStyle w:val="Compact"/>
              <w:jc w:val="left"/>
            </w:pPr>
            <w:r>
              <w:t xml:space="preserve">Items Included</w:t>
            </w:r>
          </w:p>
        </w:tc>
        <w:tc>
          <w:tcPr/>
          <w:p>
            <w:pPr>
              <w:pStyle w:val="Compact"/>
              <w:jc w:val="left"/>
            </w:pPr>
            <w:r>
              <w:t xml:space="preserve">Delivery Date</w:t>
            </w:r>
          </w:p>
        </w:tc>
        <w:tc>
          <w:tcPr/>
          <w:p>
            <w:pPr>
              <w:pStyle w:val="Compact"/>
              <w:jc w:val="left"/>
            </w:pPr>
            <w:r>
              <w:t xml:space="preserve">Notes</w:t>
            </w:r>
          </w:p>
        </w:tc>
      </w:tr>
      <w:tr>
        <w:tc>
          <w:tcPr/>
          <w:p>
            <w:pPr>
              <w:pStyle w:val="Compact"/>
              <w:jc w:val="left"/>
            </w:pPr>
            <w:r>
              <w:t xml:space="preserve">Lot 1</w:t>
            </w:r>
          </w:p>
        </w:tc>
        <w:tc>
          <w:tcPr/>
          <w:p>
            <w:pPr>
              <w:pStyle w:val="Compact"/>
              <w:jc w:val="left"/>
            </w:pPr>
            <w:r>
              <w:t xml:space="preserve">Mason blocks (hollow &amp; solid), cement, sand</w:t>
            </w:r>
          </w:p>
        </w:tc>
        <w:tc>
          <w:tcPr/>
          <w:p>
            <w:pPr>
              <w:pStyle w:val="Compact"/>
              <w:jc w:val="left"/>
            </w:pPr>
            <w:r>
              <w:t xml:space="preserve">June 25, 2025</w:t>
            </w:r>
          </w:p>
        </w:tc>
        <w:tc>
          <w:tcPr/>
          <w:p>
            <w:pPr>
              <w:pStyle w:val="Compact"/>
              <w:jc w:val="left"/>
            </w:pPr>
            <w:r>
              <w:t xml:space="preserve">Foundation and first-floor masonry phase</w:t>
            </w:r>
          </w:p>
        </w:tc>
      </w:tr>
      <w:tr>
        <w:tc>
          <w:tcPr/>
          <w:p>
            <w:pPr>
              <w:pStyle w:val="Compact"/>
              <w:jc w:val="left"/>
            </w:pPr>
            <w:r>
              <w:t xml:space="preserve">Lot 2</w:t>
            </w:r>
          </w:p>
        </w:tc>
        <w:tc>
          <w:tcPr/>
          <w:p>
            <w:pPr>
              <w:pStyle w:val="Compact"/>
              <w:jc w:val="left"/>
            </w:pPr>
            <w:r>
              <w:t xml:space="preserve">Aggregate, wire mesh, rebar, waterproofing</w:t>
            </w:r>
          </w:p>
        </w:tc>
        <w:tc>
          <w:tcPr/>
          <w:p>
            <w:pPr>
              <w:pStyle w:val="Compact"/>
              <w:jc w:val="left"/>
            </w:pPr>
            <w:r>
              <w:t xml:space="preserve">July 01, 2025</w:t>
            </w:r>
          </w:p>
        </w:tc>
        <w:tc>
          <w:tcPr/>
          <w:p>
            <w:pPr>
              <w:pStyle w:val="Compact"/>
              <w:jc w:val="left"/>
            </w:pPr>
            <w:r>
              <w:t xml:space="preserve">Structural mason reinforcement phase</w:t>
            </w:r>
          </w:p>
        </w:tc>
      </w:tr>
      <w:tr>
        <w:tc>
          <w:tcPr/>
          <w:p>
            <w:pPr>
              <w:pStyle w:val="Compact"/>
              <w:jc w:val="left"/>
            </w:pPr>
            <w:r>
              <w:t xml:space="preserve">Lot 3</w:t>
            </w:r>
          </w:p>
        </w:tc>
        <w:tc>
          <w:tcPr/>
          <w:p>
            <w:pPr>
              <w:pStyle w:val="Compact"/>
              <w:jc w:val="left"/>
            </w:pPr>
            <w:r>
              <w:t xml:space="preserve">Remaining mason blocks, cement, sand</w:t>
            </w:r>
          </w:p>
        </w:tc>
        <w:tc>
          <w:tcPr/>
          <w:p>
            <w:pPr>
              <w:pStyle w:val="Compact"/>
              <w:jc w:val="left"/>
            </w:pPr>
            <w:r>
              <w:t xml:space="preserve">July 04, 2025</w:t>
            </w:r>
          </w:p>
        </w:tc>
        <w:tc>
          <w:tcPr/>
          <w:p>
            <w:pPr>
              <w:pStyle w:val="Compact"/>
              <w:jc w:val="left"/>
            </w:pPr>
            <w:r>
              <w:t xml:space="preserve">Upper floors and facade masonry phase</w:t>
            </w:r>
          </w:p>
        </w:tc>
      </w:tr>
    </w:tbl>
    <w:p>
      <w:pPr>
        <w:pStyle w:val="BodyText"/>
      </w:pPr>
      <w:r>
        <w:rPr>
          <w:bCs/>
          <w:b/>
        </w:rPr>
        <w:t xml:space="preserve">Authorized by (Buyer):</w:t>
      </w:r>
    </w:p>
    <w:p>
      <w:pPr>
        <w:pStyle w:val="BodyText"/>
      </w:pPr>
      <w:r>
        <w:t xml:space="preserve">Ing. Carlos Alberto Restrepo</w:t>
      </w:r>
      <w:r>
        <w:br/>
      </w:r>
      <w:r>
        <w:t xml:space="preserve">Project Director – Constructora Andina del Valle S.A.S.</w:t>
      </w:r>
      <w:r>
        <w:br/>
      </w:r>
      <w:r>
        <w:t xml:space="preserve">Medellín, Colombia</w:t>
      </w:r>
    </w:p>
    <w:p>
      <w:pPr>
        <w:pStyle w:val="BodyText"/>
      </w:pPr>
      <w:r>
        <w:rPr>
          <w:bCs/>
          <w:b/>
        </w:rPr>
        <w:t xml:space="preserve">Accepted by (Supplier):</w:t>
      </w:r>
    </w:p>
    <w:p>
      <w:pPr>
        <w:pStyle w:val="BodyText"/>
      </w:pPr>
      <w:r>
        <w:t xml:space="preserve">Sr. Juan Pablo Martínez</w:t>
      </w:r>
      <w:r>
        <w:br/>
      </w:r>
      <w:r>
        <w:t xml:space="preserve">Sales Manager – Materiales de Construcción El Maestro Ltda.</w:t>
      </w:r>
      <w:r>
        <w:br/>
      </w:r>
      <w:r>
        <w:t xml:space="preserve">Medellín, Colombia</w:t>
      </w:r>
    </w:p>
    <w:p>
      <w:pPr>
        <w:pStyle w:val="BodyText"/>
      </w:pPr>
      <w:r>
        <w:rPr>
          <w:bCs/>
          <w:b/>
        </w:rPr>
        <w:t xml:space="preserve">Note:</w:t>
      </w:r>
      <w:r>
        <w:t xml:space="preserve"> </w:t>
      </w:r>
      <w:r>
        <w:t xml:space="preserve">This Purchase Order was prepared specifically for mason and masonry construction activities in the city of Medellín, Colombia. All materials referenced under the term "mason" in this document pertain to masonry units, mason mortar components, and associated mason reinforcement products. The supplier acknowledges that all deliveries will be made within the Medellín metropolitan area and must comply with local municipal regulations of the Alcaldía de Medellín regarding construction material transport and site storage. This document is issued in duplicate, with one copy retained by the buyer and one copy provided to the supplier for processing.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Materials - Colombia Medellín</dc:title>
  <dc:creator/>
  <dc:language>en</dc:language>
  <cp:keywords/>
  <dcterms:created xsi:type="dcterms:W3CDTF">2026-10-10T03:15:50Z</dcterms:created>
  <dcterms:modified xsi:type="dcterms:W3CDTF">2026-10-10T03:15:50Z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