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Masonry</w:t>
      </w:r>
      <w:r>
        <w:t xml:space="preserve"> </w:t>
      </w:r>
      <w:r>
        <w:t xml:space="preserve">Materials</w:t>
      </w:r>
      <w:r>
        <w:t xml:space="preserve"> </w:t>
      </w:r>
      <w:r>
        <w:t xml:space="preserve">and</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t xml:space="preserve">Masonry Materials, Supplies, and Professional Services</w:t>
      </w:r>
    </w:p>
    <w:p>
      <w:pPr>
        <w:pStyle w:val="BodyText"/>
      </w:pPr>
      <w:r>
        <w:rPr>
          <w:bCs/>
          <w:b/>
        </w:rPr>
        <w:t xml:space="preserve">Location of Work: Alexandria, Egypt</w:t>
      </w:r>
    </w:p>
    <w:bookmarkEnd w:id="20"/>
    <w:p>
      <w:pPr>
        <w:pStyle w:val="BodyText"/>
      </w:pPr>
      <w:r>
        <w:t xml:space="preserve">PO No.: EGY-ALX-2025-04782</w:t>
      </w:r>
    </w:p>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Project Completion Deadline:</w:t>
            </w:r>
          </w:p>
        </w:tc>
        <w:tc>
          <w:tcPr/>
          <w:p>
            <w:pPr>
              <w:pStyle w:val="Compact"/>
              <w:jc w:val="left"/>
            </w:pPr>
            <w:r>
              <w:t xml:space="preserve">30 September 2025</w:t>
            </w:r>
          </w:p>
        </w:tc>
      </w:tr>
      <w:tr>
        <w:tc>
          <w:tcPr/>
          <w:p>
            <w:pPr>
              <w:pStyle w:val="Compact"/>
              <w:jc w:val="left"/>
            </w:pPr>
            <w:r>
              <w:rPr>
                <w:bCs/>
                <w:b/>
              </w:rPr>
              <w:t xml:space="preserve">Project Location:</w:t>
            </w:r>
          </w:p>
        </w:tc>
        <w:tc>
          <w:tcPr/>
          <w:p>
            <w:pPr>
              <w:pStyle w:val="Compact"/>
              <w:jc w:val="left"/>
            </w:pPr>
            <w:r>
              <w:t xml:space="preserve">14 Corniche El-Nil Street, Smouha District, Alexandria, Egypt</w:t>
            </w:r>
          </w:p>
        </w:tc>
      </w:tr>
      <w:tr>
        <w:tc>
          <w:tcPr/>
          <w:p>
            <w:pPr>
              <w:pStyle w:val="Compact"/>
              <w:jc w:val="left"/>
            </w:pPr>
            <w:r>
              <w:rPr>
                <w:bCs/>
                <w:b/>
              </w:rPr>
              <w:t xml:space="preserve">Payment Currency:</w:t>
            </w:r>
          </w:p>
        </w:tc>
        <w:tc>
          <w:tcPr/>
          <w:p>
            <w:pPr>
              <w:pStyle w:val="Compact"/>
              <w:jc w:val="left"/>
            </w:pPr>
            <w:r>
              <w:t xml:space="preserve">Egyptian Pound (EGP)</w:t>
            </w:r>
          </w:p>
        </w:tc>
      </w:tr>
      <w:tr>
        <w:tc>
          <w:tcPr/>
          <w:p>
            <w:pPr>
              <w:pStyle w:val="Compact"/>
              <w:jc w:val="left"/>
            </w:pPr>
            <w:r>
              <w:rPr>
                <w:bCs/>
                <w:b/>
              </w:rPr>
              <w:t xml:space="preserve">Governing Law:</w:t>
            </w:r>
          </w:p>
        </w:tc>
        <w:tc>
          <w:tcPr/>
          <w:p>
            <w:pPr>
              <w:pStyle w:val="Compact"/>
              <w:jc w:val="left"/>
            </w:pPr>
            <w:r>
              <w:t xml:space="preserve">Republic of Egypt Commercial Law, Alexandria Jurisdiction</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Alexandria Coastal Development &amp; Construction Co. (ACDC)</w:t>
            </w:r>
          </w:p>
        </w:tc>
      </w:tr>
      <w:tr>
        <w:tc>
          <w:tcPr/>
          <w:p>
            <w:pPr>
              <w:pStyle w:val="Compact"/>
              <w:jc w:val="left"/>
            </w:pPr>
            <w:r>
              <w:rPr>
                <w:bCs/>
                <w:b/>
              </w:rPr>
              <w:t xml:space="preserve">Address:</w:t>
            </w:r>
          </w:p>
        </w:tc>
        <w:tc>
          <w:tcPr/>
          <w:p>
            <w:pPr>
              <w:pStyle w:val="Compact"/>
              <w:jc w:val="left"/>
            </w:pPr>
            <w:r>
              <w:t xml:space="preserve">Building 22, El-Montazah Industrial Zone, Alexandria, Egypt</w:t>
            </w:r>
          </w:p>
        </w:tc>
      </w:tr>
      <w:tr>
        <w:tc>
          <w:tcPr/>
          <w:p>
            <w:pPr>
              <w:pStyle w:val="Compact"/>
              <w:jc w:val="left"/>
            </w:pPr>
            <w:r>
              <w:rPr>
                <w:bCs/>
                <w:b/>
              </w:rPr>
              <w:t xml:space="preserve">Tax Registration No.:</w:t>
            </w:r>
          </w:p>
        </w:tc>
        <w:tc>
          <w:tcPr/>
          <w:p>
            <w:pPr>
              <w:pStyle w:val="Compact"/>
              <w:jc w:val="left"/>
            </w:pPr>
            <w:r>
              <w:t xml:space="preserve">EG-55821473</w:t>
            </w:r>
          </w:p>
        </w:tc>
      </w:tr>
      <w:tr>
        <w:tc>
          <w:tcPr/>
          <w:p>
            <w:pPr>
              <w:pStyle w:val="Compact"/>
              <w:jc w:val="left"/>
            </w:pPr>
            <w:r>
              <w:rPr>
                <w:bCs/>
                <w:b/>
              </w:rPr>
              <w:t xml:space="preserve">Contact Person:</w:t>
            </w:r>
          </w:p>
        </w:tc>
        <w:tc>
          <w:tcPr/>
          <w:p>
            <w:pPr>
              <w:pStyle w:val="Compact"/>
              <w:jc w:val="left"/>
            </w:pPr>
            <w:r>
              <w:t xml:space="preserve">Eng. Khaled El-Sayed, Project Director</w:t>
            </w:r>
          </w:p>
        </w:tc>
      </w:tr>
      <w:tr>
        <w:tc>
          <w:tcPr/>
          <w:p>
            <w:pPr>
              <w:pStyle w:val="Compact"/>
              <w:jc w:val="left"/>
            </w:pPr>
            <w:r>
              <w:rPr>
                <w:bCs/>
                <w:b/>
              </w:rPr>
              <w:t xml:space="preserve">Phone:</w:t>
            </w:r>
          </w:p>
        </w:tc>
        <w:tc>
          <w:tcPr/>
          <w:p>
            <w:pPr>
              <w:pStyle w:val="Compact"/>
              <w:jc w:val="left"/>
            </w:pPr>
            <w:r>
              <w:t xml:space="preserve">+20 3 482 5561</w:t>
            </w:r>
          </w:p>
        </w:tc>
      </w:tr>
      <w:tr>
        <w:tc>
          <w:tcPr/>
          <w:p>
            <w:pPr>
              <w:pStyle w:val="Compact"/>
              <w:jc w:val="left"/>
            </w:pPr>
            <w:r>
              <w:rPr>
                <w:bCs/>
                <w:b/>
              </w:rPr>
              <w:t xml:space="preserve">Email:</w:t>
            </w:r>
          </w:p>
        </w:tc>
        <w:tc>
          <w:tcPr/>
          <w:p>
            <w:pPr>
              <w:pStyle w:val="Compact"/>
              <w:jc w:val="left"/>
            </w:pPr>
            <w:r>
              <w:t xml:space="preserve">procurement@acdc-alexandria.com.eg</w:t>
            </w:r>
          </w:p>
        </w:tc>
      </w:tr>
    </w:tbl>
    <w:bookmarkEnd w:id="22"/>
    <w:bookmarkStart w:id="23" w:name="supplier-vendor-seller"/>
    <w:p>
      <w:pPr>
        <w:pStyle w:val="Heading2"/>
      </w:pPr>
      <w:r>
        <w:t xml:space="preserve">3. Supplier / Vendor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Nile Delta Masonry &amp; Stone Supplies Ltd.</w:t>
            </w:r>
          </w:p>
        </w:tc>
      </w:tr>
      <w:tr>
        <w:tc>
          <w:tcPr/>
          <w:p>
            <w:pPr>
              <w:pStyle w:val="Compact"/>
              <w:jc w:val="left"/>
            </w:pPr>
            <w:r>
              <w:rPr>
                <w:bCs/>
                <w:b/>
              </w:rPr>
              <w:t xml:space="preserve">Address:</w:t>
            </w:r>
          </w:p>
        </w:tc>
        <w:tc>
          <w:tcPr/>
          <w:p>
            <w:pPr>
              <w:pStyle w:val="Compact"/>
              <w:jc w:val="left"/>
            </w:pPr>
            <w:r>
              <w:t xml:space="preserve">Plot 7, Alexandria Port Industrial Area, El-Dekheila, Alexandria, Egypt</w:t>
            </w:r>
          </w:p>
        </w:tc>
      </w:tr>
      <w:tr>
        <w:tc>
          <w:tcPr/>
          <w:p>
            <w:pPr>
              <w:pStyle w:val="Compact"/>
              <w:jc w:val="left"/>
            </w:pPr>
            <w:r>
              <w:rPr>
                <w:bCs/>
                <w:b/>
              </w:rPr>
              <w:t xml:space="preserve">Tax Registration No.:</w:t>
            </w:r>
          </w:p>
        </w:tc>
        <w:tc>
          <w:tcPr/>
          <w:p>
            <w:pPr>
              <w:pStyle w:val="Compact"/>
              <w:jc w:val="left"/>
            </w:pPr>
            <w:r>
              <w:t xml:space="preserve">EG-44198236</w:t>
            </w:r>
          </w:p>
        </w:tc>
      </w:tr>
      <w:tr>
        <w:tc>
          <w:tcPr/>
          <w:p>
            <w:pPr>
              <w:pStyle w:val="Compact"/>
              <w:jc w:val="left"/>
            </w:pPr>
            <w:r>
              <w:rPr>
                <w:bCs/>
                <w:b/>
              </w:rPr>
              <w:t xml:space="preserve">Contact Person:</w:t>
            </w:r>
          </w:p>
        </w:tc>
        <w:tc>
          <w:tcPr/>
          <w:p>
            <w:pPr>
              <w:pStyle w:val="Compact"/>
              <w:jc w:val="left"/>
            </w:pPr>
            <w:r>
              <w:t xml:space="preserve">Mr. Tarek Mahmoud, Sales Manager</w:t>
            </w:r>
          </w:p>
        </w:tc>
      </w:tr>
      <w:tr>
        <w:tc>
          <w:tcPr/>
          <w:p>
            <w:pPr>
              <w:pStyle w:val="Compact"/>
              <w:jc w:val="left"/>
            </w:pPr>
            <w:r>
              <w:rPr>
                <w:bCs/>
                <w:b/>
              </w:rPr>
              <w:t xml:space="preserve">Phone:</w:t>
            </w:r>
          </w:p>
        </w:tc>
        <w:tc>
          <w:tcPr/>
          <w:p>
            <w:pPr>
              <w:pStyle w:val="Compact"/>
              <w:jc w:val="left"/>
            </w:pPr>
            <w:r>
              <w:t xml:space="preserve">+20 3 571 8892</w:t>
            </w:r>
          </w:p>
        </w:tc>
      </w:tr>
      <w:tr>
        <w:tc>
          <w:tcPr/>
          <w:p>
            <w:pPr>
              <w:pStyle w:val="Compact"/>
              <w:jc w:val="left"/>
            </w:pPr>
            <w:r>
              <w:rPr>
                <w:bCs/>
                <w:b/>
              </w:rPr>
              <w:t xml:space="preserve">Email:</w:t>
            </w:r>
          </w:p>
        </w:tc>
        <w:tc>
          <w:tcPr/>
          <w:p>
            <w:pPr>
              <w:pStyle w:val="Compact"/>
              <w:jc w:val="left"/>
            </w:pPr>
            <w:r>
              <w:t xml:space="preserve">orders@niledeltamasonry.com.eg</w:t>
            </w:r>
          </w:p>
        </w:tc>
      </w:tr>
    </w:tbl>
    <w:bookmarkEnd w:id="23"/>
    <w:bookmarkStart w:id="24" w:name="Xf3e13f18af58f68a37fafaaf592fc501dbf7c83"/>
    <w:p>
      <w:pPr>
        <w:pStyle w:val="Heading2"/>
      </w:pPr>
      <w:r>
        <w:t xml:space="preserve">4. Description of Masonry Work and Materials Ordered</w:t>
      </w:r>
    </w:p>
    <w:p>
      <w:pPr>
        <w:pStyle w:val="FirstParagraph"/>
      </w:pPr>
      <w:r>
        <w:t xml:space="preserve">This Purchase Order is issued by Alexandria Coastal Development &amp; Construction Co. to procure all necessary masonry materials, specialized mason tools, and certified mason labor services required for the construction of a four-story residential and commercial building located in the Smouha District of Alexandria, Egypt. The masonry scope encompasses load-bearing brick walls, decorative stone facades, interior partition masonry, and all associated mortar, bonding agents, and finishing materials. All masonry work shall comply with Egyptian Building Code (EBC 501) and Alexandria Municipal Construction Regulations.</w:t>
      </w:r>
    </w:p>
    <w:bookmarkEnd w:id="24"/>
    <w:bookmarkStart w:id="25" w:name="X254d5a14b5127886b578a7358badbc51edcfd89"/>
    <w:p>
      <w:pPr>
        <w:pStyle w:val="Heading2"/>
      </w:pPr>
      <w:r>
        <w:t xml:space="preserve">5. Line Items – Masonry Materials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Red clay masonry bricks (230mm x 110mm x 70mm), Alexandria standard grade</w:t>
            </w:r>
          </w:p>
        </w:tc>
        <w:tc>
          <w:tcPr/>
          <w:p>
            <w:pPr>
              <w:pStyle w:val="Compact"/>
              <w:jc w:val="left"/>
            </w:pPr>
            <w:r>
              <w:t xml:space="preserve">185,000</w:t>
            </w:r>
          </w:p>
        </w:tc>
        <w:tc>
          <w:tcPr/>
          <w:p>
            <w:pPr>
              <w:pStyle w:val="Compact"/>
              <w:jc w:val="left"/>
            </w:pPr>
            <w:r>
              <w:t xml:space="preserve">pcs</w:t>
            </w:r>
          </w:p>
        </w:tc>
        <w:tc>
          <w:tcPr/>
          <w:p>
            <w:pPr>
              <w:pStyle w:val="Compact"/>
              <w:jc w:val="left"/>
            </w:pPr>
            <w:r>
              <w:t xml:space="preserve">4.50</w:t>
            </w:r>
          </w:p>
        </w:tc>
        <w:tc>
          <w:tcPr/>
          <w:p>
            <w:pPr>
              <w:pStyle w:val="Compact"/>
              <w:jc w:val="left"/>
            </w:pPr>
            <w:r>
              <w:t xml:space="preserve">832,500.00</w:t>
            </w:r>
          </w:p>
        </w:tc>
      </w:tr>
      <w:tr>
        <w:tc>
          <w:tcPr/>
          <w:p>
            <w:pPr>
              <w:pStyle w:val="Compact"/>
              <w:jc w:val="left"/>
            </w:pPr>
            <w:r>
              <w:t xml:space="preserve">02</w:t>
            </w:r>
          </w:p>
        </w:tc>
        <w:tc>
          <w:tcPr/>
          <w:p>
            <w:pPr>
              <w:pStyle w:val="Compact"/>
              <w:jc w:val="left"/>
            </w:pPr>
            <w:r>
              <w:t xml:space="preserve">Portland cement Type I (50 kg bags), Egyptian Cement Co.</w:t>
            </w:r>
          </w:p>
        </w:tc>
        <w:tc>
          <w:tcPr/>
          <w:p>
            <w:pPr>
              <w:pStyle w:val="Compact"/>
              <w:jc w:val="left"/>
            </w:pPr>
            <w:r>
              <w:t xml:space="preserve">3,200</w:t>
            </w:r>
          </w:p>
        </w:tc>
        <w:tc>
          <w:tcPr/>
          <w:p>
            <w:pPr>
              <w:pStyle w:val="Compact"/>
              <w:jc w:val="left"/>
            </w:pPr>
            <w:r>
              <w:t xml:space="preserve">bags</w:t>
            </w:r>
          </w:p>
        </w:tc>
        <w:tc>
          <w:tcPr/>
          <w:p>
            <w:pPr>
              <w:pStyle w:val="Compact"/>
              <w:jc w:val="left"/>
            </w:pPr>
            <w:r>
              <w:t xml:space="preserve">285.00</w:t>
            </w:r>
          </w:p>
        </w:tc>
        <w:tc>
          <w:tcPr/>
          <w:p>
            <w:pPr>
              <w:pStyle w:val="Compact"/>
              <w:jc w:val="left"/>
            </w:pPr>
            <w:r>
              <w:t xml:space="preserve">912,000.00</w:t>
            </w:r>
          </w:p>
        </w:tc>
      </w:tr>
      <w:tr>
        <w:tc>
          <w:tcPr/>
          <w:p>
            <w:pPr>
              <w:pStyle w:val="Compact"/>
              <w:jc w:val="left"/>
            </w:pPr>
            <w:r>
              <w:t xml:space="preserve">03</w:t>
            </w:r>
          </w:p>
        </w:tc>
        <w:tc>
          <w:tcPr/>
          <w:p>
            <w:pPr>
              <w:pStyle w:val="Compact"/>
              <w:jc w:val="left"/>
            </w:pPr>
            <w:r>
              <w:t xml:space="preserve">Washed river sand, fine grade for masonry mortar</w:t>
            </w:r>
          </w:p>
        </w:tc>
        <w:tc>
          <w:tcPr/>
          <w:p>
            <w:pPr>
              <w:pStyle w:val="Compact"/>
              <w:jc w:val="left"/>
            </w:pPr>
            <w:r>
              <w:t xml:space="preserve">420</w:t>
            </w:r>
          </w:p>
        </w:tc>
        <w:tc>
          <w:tcPr/>
          <w:p>
            <w:pPr>
              <w:pStyle w:val="Compact"/>
              <w:jc w:val="left"/>
            </w:pPr>
            <w:r>
              <w:t xml:space="preserve">m³</w:t>
            </w:r>
          </w:p>
        </w:tc>
        <w:tc>
          <w:tcPr/>
          <w:p>
            <w:pPr>
              <w:pStyle w:val="Compact"/>
              <w:jc w:val="left"/>
            </w:pPr>
            <w:r>
              <w:t xml:space="preserve">380.00</w:t>
            </w:r>
          </w:p>
        </w:tc>
        <w:tc>
          <w:tcPr/>
          <w:p>
            <w:pPr>
              <w:pStyle w:val="Compact"/>
              <w:jc w:val="left"/>
            </w:pPr>
            <w:r>
              <w:t xml:space="preserve">159,600.00</w:t>
            </w:r>
          </w:p>
        </w:tc>
      </w:tr>
      <w:tr>
        <w:tc>
          <w:tcPr/>
          <w:p>
            <w:pPr>
              <w:pStyle w:val="Compact"/>
              <w:jc w:val="left"/>
            </w:pPr>
            <w:r>
              <w:t xml:space="preserve">04</w:t>
            </w:r>
          </w:p>
        </w:tc>
        <w:tc>
          <w:tcPr/>
          <w:p>
            <w:pPr>
              <w:pStyle w:val="Compact"/>
              <w:jc w:val="left"/>
            </w:pPr>
            <w:r>
              <w:t xml:space="preserve">Natural limestone blocks for exterior facade masonry (Alexandria quarries)</w:t>
            </w:r>
          </w:p>
        </w:tc>
        <w:tc>
          <w:tcPr/>
          <w:p>
            <w:pPr>
              <w:pStyle w:val="Compact"/>
              <w:jc w:val="left"/>
            </w:pPr>
            <w:r>
              <w:t xml:space="preserve">1,850</w:t>
            </w:r>
          </w:p>
        </w:tc>
        <w:tc>
          <w:tcPr/>
          <w:p>
            <w:pPr>
              <w:pStyle w:val="Compact"/>
              <w:jc w:val="left"/>
            </w:pPr>
            <w:r>
              <w:t xml:space="preserve">m³</w:t>
            </w:r>
          </w:p>
        </w:tc>
        <w:tc>
          <w:tcPr/>
          <w:p>
            <w:pPr>
              <w:pStyle w:val="Compact"/>
              <w:jc w:val="left"/>
            </w:pPr>
            <w:r>
              <w:t xml:space="preserve">2,400.00</w:t>
            </w:r>
          </w:p>
        </w:tc>
        <w:tc>
          <w:tcPr/>
          <w:p>
            <w:pPr>
              <w:pStyle w:val="Compact"/>
              <w:jc w:val="left"/>
            </w:pPr>
            <w:r>
              <w:t xml:space="preserve">4,440,000.00</w:t>
            </w:r>
          </w:p>
        </w:tc>
      </w:tr>
      <w:tr>
        <w:tc>
          <w:tcPr/>
          <w:p>
            <w:pPr>
              <w:pStyle w:val="Compact"/>
              <w:jc w:val="left"/>
            </w:pPr>
            <w:r>
              <w:t xml:space="preserve">05</w:t>
            </w:r>
          </w:p>
        </w:tc>
        <w:tc>
          <w:tcPr/>
          <w:p>
            <w:pPr>
              <w:pStyle w:val="Compact"/>
              <w:jc w:val="left"/>
            </w:pPr>
            <w:r>
              <w:t xml:space="preserve">Specialty mason tools kit (chisels, trowels, levels, plumb bobs, scaffolding)</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Certified mason labor – skilled masonry crew (12 masons + 4 apprentices), 90 working days</w:t>
            </w:r>
          </w:p>
        </w:tc>
        <w:tc>
          <w:tcPr/>
          <w:p>
            <w:pPr>
              <w:pStyle w:val="Compact"/>
              <w:jc w:val="left"/>
            </w:pPr>
            <w:r>
              <w:t xml:space="preserve">1,560</w:t>
            </w:r>
          </w:p>
        </w:tc>
        <w:tc>
          <w:tcPr/>
          <w:p>
            <w:pPr>
              <w:pStyle w:val="Compact"/>
              <w:jc w:val="left"/>
            </w:pPr>
            <w:r>
              <w:t xml:space="preserve">man-days</w:t>
            </w:r>
          </w:p>
        </w:tc>
        <w:tc>
          <w:tcPr/>
          <w:p>
            <w:pPr>
              <w:pStyle w:val="Compact"/>
              <w:jc w:val="left"/>
            </w:pPr>
            <w:r>
              <w:t xml:space="preserve">650.00</w:t>
            </w:r>
          </w:p>
        </w:tc>
        <w:tc>
          <w:tcPr/>
          <w:p>
            <w:pPr>
              <w:pStyle w:val="Compact"/>
              <w:jc w:val="left"/>
            </w:pPr>
            <w:r>
              <w:t xml:space="preserve">1,014,000.00</w:t>
            </w:r>
          </w:p>
        </w:tc>
      </w:tr>
      <w:tr>
        <w:tc>
          <w:tcPr/>
          <w:p>
            <w:pPr>
              <w:pStyle w:val="Compact"/>
              <w:jc w:val="left"/>
            </w:pPr>
            <w:r>
              <w:t xml:space="preserve">07</w:t>
            </w:r>
          </w:p>
        </w:tc>
        <w:tc>
          <w:tcPr/>
          <w:p>
            <w:pPr>
              <w:pStyle w:val="Compact"/>
              <w:jc w:val="left"/>
            </w:pPr>
            <w:r>
              <w:t xml:space="preserve">Waterproofing masonry sealant and bonding adhesive (marine-grade for Alexandria coastal climate)</w:t>
            </w:r>
          </w:p>
        </w:tc>
        <w:tc>
          <w:tcPr/>
          <w:p>
            <w:pPr>
              <w:pStyle w:val="Compact"/>
              <w:jc w:val="left"/>
            </w:pPr>
            <w:r>
              <w:t xml:space="preserve">2,400</w:t>
            </w:r>
          </w:p>
        </w:tc>
        <w:tc>
          <w:tcPr/>
          <w:p>
            <w:pPr>
              <w:pStyle w:val="Compact"/>
              <w:jc w:val="left"/>
            </w:pPr>
            <w:r>
              <w:t xml:space="preserve">liters</w:t>
            </w:r>
          </w:p>
        </w:tc>
        <w:tc>
          <w:tcPr/>
          <w:p>
            <w:pPr>
              <w:pStyle w:val="Compact"/>
              <w:jc w:val="left"/>
            </w:pPr>
            <w:r>
              <w:t xml:space="preserve">95.00</w:t>
            </w:r>
          </w:p>
        </w:tc>
        <w:tc>
          <w:tcPr/>
          <w:p>
            <w:pPr>
              <w:pStyle w:val="Compact"/>
              <w:jc w:val="left"/>
            </w:pPr>
            <w:r>
              <w:t xml:space="preserve">228,000.00</w:t>
            </w:r>
          </w:p>
        </w:tc>
      </w:tr>
      <w:tr>
        <w:tc>
          <w:tcPr/>
          <w:p>
            <w:pPr>
              <w:pStyle w:val="Compact"/>
              <w:jc w:val="left"/>
            </w:pPr>
            <w:r>
              <w:t xml:space="preserve">08</w:t>
            </w:r>
          </w:p>
        </w:tc>
        <w:tc>
          <w:tcPr/>
          <w:p>
            <w:pPr>
              <w:pStyle w:val="Compact"/>
              <w:jc w:val="left"/>
            </w:pPr>
            <w:r>
              <w:t xml:space="preserve">Decorative carved stone panels for entrance lobby masonry (handcrafted, Alexandria artisan workshop)</w:t>
            </w:r>
          </w:p>
        </w:tc>
        <w:tc>
          <w:tcPr/>
          <w:p>
            <w:pPr>
              <w:pStyle w:val="Compact"/>
              <w:jc w:val="left"/>
            </w:pPr>
            <w:r>
              <w:t xml:space="preserve">36</w:t>
            </w:r>
          </w:p>
        </w:tc>
        <w:tc>
          <w:tcPr/>
          <w:p>
            <w:pPr>
              <w:pStyle w:val="Compact"/>
              <w:jc w:val="left"/>
            </w:pPr>
            <w:r>
              <w:t xml:space="preserve">panels</w:t>
            </w:r>
          </w:p>
        </w:tc>
        <w:tc>
          <w:tcPr/>
          <w:p>
            <w:pPr>
              <w:pStyle w:val="Compact"/>
              <w:jc w:val="left"/>
            </w:pPr>
            <w:r>
              <w:t xml:space="preserve">12,800.00</w:t>
            </w:r>
          </w:p>
        </w:tc>
        <w:tc>
          <w:tcPr/>
          <w:p>
            <w:pPr>
              <w:pStyle w:val="Compact"/>
              <w:jc w:val="left"/>
            </w:pPr>
            <w:r>
              <w:t xml:space="preserve">460,800.00</w:t>
            </w:r>
          </w:p>
        </w:tc>
      </w:tr>
      <w:tr>
        <w:tc>
          <w:tcPr/>
          <w:p>
            <w:pPr>
              <w:pStyle w:val="Compact"/>
              <w:jc w:val="left"/>
            </w:pPr>
            <w:r>
              <w:t xml:space="preserve">09</w:t>
            </w:r>
          </w:p>
        </w:tc>
        <w:tc>
          <w:tcPr/>
          <w:p>
            <w:pPr>
              <w:pStyle w:val="Compact"/>
              <w:jc w:val="left"/>
            </w:pPr>
            <w:r>
              <w:t xml:space="preserve">Steel masonry reinforcement mesh and tie wires</w:t>
            </w:r>
          </w:p>
        </w:tc>
        <w:tc>
          <w:tcPr/>
          <w:p>
            <w:pPr>
              <w:pStyle w:val="Compact"/>
              <w:jc w:val="left"/>
            </w:pPr>
            <w:r>
              <w:t xml:space="preserve">850</w:t>
            </w:r>
          </w:p>
        </w:tc>
        <w:tc>
          <w:tcPr/>
          <w:p>
            <w:pPr>
              <w:pStyle w:val="Compact"/>
              <w:jc w:val="left"/>
            </w:pPr>
            <w:r>
              <w:t xml:space="preserve">m³</w:t>
            </w:r>
          </w:p>
        </w:tc>
        <w:tc>
          <w:tcPr/>
          <w:p>
            <w:pPr>
              <w:pStyle w:val="Compact"/>
              <w:jc w:val="left"/>
            </w:pPr>
            <w:r>
              <w:t xml:space="preserve">1,150.00</w:t>
            </w:r>
          </w:p>
        </w:tc>
        <w:tc>
          <w:tcPr/>
          <w:p>
            <w:pPr>
              <w:pStyle w:val="Compact"/>
              <w:jc w:val="left"/>
            </w:pPr>
            <w:r>
              <w:t xml:space="preserve">977,500.00</w:t>
            </w:r>
          </w:p>
        </w:tc>
      </w:tr>
      <w:tr>
        <w:tc>
          <w:tcPr/>
          <w:p>
            <w:pPr>
              <w:pStyle w:val="Compact"/>
              <w:jc w:val="left"/>
            </w:pPr>
            <w:r>
              <w:t xml:space="preserve">10</w:t>
            </w:r>
          </w:p>
        </w:tc>
        <w:tc>
          <w:tcPr/>
          <w:p>
            <w:pPr>
              <w:pStyle w:val="Compact"/>
              <w:jc w:val="left"/>
            </w:pPr>
            <w:r>
              <w:t xml:space="preserve">Delivery, loading, and on-site handling within Alexandria city limits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10,091,400.00</w:t>
            </w:r>
          </w:p>
        </w:tc>
      </w:tr>
      <w:tr>
        <w:tc>
          <w:tcPr>
            <w:gridSpan w:val="5"/>
          </w:tcPr>
          <w:p>
            <w:pPr>
              <w:pStyle w:val="Compact"/>
              <w:jc w:val="right"/>
            </w:pPr>
            <w:r>
              <w:t xml:space="preserve">VAT (14% – Egypt Standard Rate)</w:t>
            </w:r>
          </w:p>
        </w:tc>
        <w:tc>
          <w:tcPr/>
          <w:p>
            <w:pPr>
              <w:pStyle w:val="Compact"/>
              <w:jc w:val="left"/>
            </w:pPr>
            <w:r>
              <w:t xml:space="preserve">1,412,796.00</w:t>
            </w:r>
          </w:p>
        </w:tc>
      </w:tr>
      <w:tr>
        <w:tc>
          <w:tcPr>
            <w:gridSpan w:val="5"/>
          </w:tcPr>
          <w:p>
            <w:pPr>
              <w:pStyle w:val="Compact"/>
              <w:jc w:val="right"/>
            </w:pPr>
            <w:r>
              <w:t xml:space="preserve">GRAND TOTAL</w:t>
            </w:r>
          </w:p>
        </w:tc>
        <w:tc>
          <w:tcPr/>
          <w:p>
            <w:pPr>
              <w:pStyle w:val="Compact"/>
              <w:jc w:val="left"/>
            </w:pPr>
            <w:r>
              <w:t xml:space="preserve">11,504,196.00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Delivery:</w:t>
      </w:r>
      <w:r>
        <w:t xml:space="preserve"> </w:t>
      </w:r>
      <w:r>
        <w:t xml:space="preserve">All masonry materials shall be delivered to the project site in Alexandria, Egypt, no later than 01 July 2025. The supplier is responsible for safe transport, proper stacking, and protection of all masonry products from Alexandria's coastal humidity and salt-air exposure during transit.</w:t>
      </w:r>
    </w:p>
    <w:p>
      <w:pPr>
        <w:numPr>
          <w:ilvl w:val="0"/>
          <w:numId w:val="1001"/>
        </w:numPr>
        <w:pStyle w:val="Compact"/>
      </w:pPr>
      <w:r>
        <w:rPr>
          <w:bCs/>
          <w:b/>
        </w:rPr>
        <w:t xml:space="preserve">Quality Assurance:</w:t>
      </w:r>
      <w:r>
        <w:t xml:space="preserve"> </w:t>
      </w:r>
      <w:r>
        <w:t xml:space="preserve">All masonry bricks, stone blocks, and cement shall meet Egyptian Industrial Standards (EIS) specifications. The buyer reserves the right to inspect and reject any masonry materials that do not conform to the agreed quality parameters. A certified masonry inspector from Alexandria Municipal Engineering Office shall conduct random sampling.</w:t>
      </w:r>
    </w:p>
    <w:p>
      <w:pPr>
        <w:numPr>
          <w:ilvl w:val="0"/>
          <w:numId w:val="1001"/>
        </w:numPr>
        <w:pStyle w:val="Compact"/>
      </w:pPr>
      <w:r>
        <w:rPr>
          <w:bCs/>
          <w:b/>
        </w:rPr>
        <w:t xml:space="preserve">Mason Labor Standards:</w:t>
      </w:r>
      <w:r>
        <w:t xml:space="preserve"> </w:t>
      </w:r>
      <w:r>
        <w:t xml:space="preserve">All mason workers engaged under this Purchase Order must hold valid Egyptian Ministry of Housing and Urban Development certifications. The supplier shall ensure that all masons comply with Alexandria labor regulations, including mandatory safety equipment, working-hour limits, and occupational health provisions.</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delivery and acceptance of all masonry materials at the Alexandria site, and 20% upon final completion and inspection of all masonry work. Payments shall be made via bank transfer to the supplier's designated account in Egyptian Pounds (EGP).</w:t>
      </w:r>
    </w:p>
    <w:p>
      <w:pPr>
        <w:numPr>
          <w:ilvl w:val="0"/>
          <w:numId w:val="1001"/>
        </w:numPr>
        <w:pStyle w:val="Compact"/>
      </w:pPr>
      <w:r>
        <w:rPr>
          <w:bCs/>
          <w:b/>
        </w:rPr>
        <w:t xml:space="preserve">Warranty:</w:t>
      </w:r>
      <w:r>
        <w:t xml:space="preserve"> </w:t>
      </w:r>
      <w:r>
        <w:t xml:space="preserve">The supplier warrants that all masonry materials are free from defects for a period of twenty-four (24) months from the date of delivery. Any masonry failure attributable to material defects shall be repaired or replaced at the supplier's sole expense.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Alexandria coastline, government-mandated work stoppages, or port closures at Alexandria Port.</w:t>
      </w:r>
    </w:p>
    <w:p>
      <w:pPr>
        <w:numPr>
          <w:ilvl w:val="0"/>
          <w:numId w:val="1001"/>
        </w:numPr>
        <w:pStyle w:val="Compact"/>
      </w:pPr>
      <w:r>
        <w:rPr>
          <w:bCs/>
          <w:b/>
        </w:rPr>
        <w:t xml:space="preserve">Dispute Resolution:</w:t>
      </w:r>
      <w:r>
        <w:t xml:space="preserve"> </w:t>
      </w:r>
      <w:r>
        <w:t xml:space="preserve">Any disputes arising from this Purchase Order shall be resolved through the Alexandria Commercial Arbitration Center in accordance with Egyptian arbitration law. The jurisdiction of Alexandria courts shall apply in the absence of an arbitration agreement.</w:t>
      </w:r>
    </w:p>
    <w:p>
      <w:pPr>
        <w:numPr>
          <w:ilvl w:val="0"/>
          <w:numId w:val="1001"/>
        </w:numPr>
        <w:pStyle w:val="Compact"/>
      </w:pPr>
      <w:r>
        <w:rPr>
          <w:bCs/>
          <w:b/>
        </w:rPr>
        <w:t xml:space="preserve">Environmental Compliance:</w:t>
      </w:r>
      <w:r>
        <w:t xml:space="preserve"> </w:t>
      </w:r>
      <w:r>
        <w:t xml:space="preserve">All masonry waste generated during the project shall be disposed of in accordance with Alexandria Environmental Protection Agency regulations. The supplier shall provide a waste management plan prior to commencement of masonry work.</w:t>
      </w:r>
    </w:p>
    <w:bookmarkEnd w:id="26"/>
    <w:bookmarkStart w:id="27" w:name="authorization-and-signatures"/>
    <w:p>
      <w:pPr>
        <w:pStyle w:val="Heading2"/>
      </w:pPr>
      <w:r>
        <w:t xml:space="preserve">7. Authorization and Signatures</w:t>
      </w:r>
    </w:p>
    <w:p>
      <w:pPr>
        <w:pStyle w:val="FirstParagraph"/>
      </w:pPr>
      <w:r>
        <w:t xml:space="preserve">This Purchase Order for masonry materials and services in Alexandria, Egypt, is hereby authorized and made effective upon the signatures of both parties below. This document constitutes a binding commercial agreement under Egyptian law.</w:t>
      </w:r>
    </w:p>
    <w:p>
      <w:pPr>
        <w:pStyle w:val="BodyText"/>
      </w:pPr>
      <w:r>
        <w:rPr>
          <w:bCs/>
          <w:b/>
        </w:rPr>
        <w:t xml:space="preserve">For the Buyer:</w:t>
      </w:r>
      <w:r>
        <w:br/>
      </w:r>
      <w:r>
        <w:t xml:space="preserve">Alexandria Coastal Development &amp; Construction Co.</w:t>
      </w:r>
    </w:p>
    <w:p>
      <w:pPr>
        <w:pStyle w:val="BodyText"/>
      </w:pPr>
      <w:r>
        <w:t xml:space="preserve">Eng. Khaled El-Sayed</w:t>
      </w:r>
      <w:r>
        <w:br/>
      </w:r>
      <w:r>
        <w:t xml:space="preserve">Project Director</w:t>
      </w:r>
      <w:r>
        <w:br/>
      </w:r>
      <w:r>
        <w:t xml:space="preserve">Date: _______________</w:t>
      </w:r>
    </w:p>
    <w:p>
      <w:pPr>
        <w:pStyle w:val="BodyText"/>
      </w:pPr>
      <w:r>
        <w:rPr>
          <w:bCs/>
          <w:b/>
        </w:rPr>
        <w:t xml:space="preserve">For the Supplier:</w:t>
      </w:r>
      <w:r>
        <w:br/>
      </w:r>
      <w:r>
        <w:t xml:space="preserve">Nile Delta Masonry &amp; Stone Supplies Ltd.</w:t>
      </w:r>
    </w:p>
    <w:p>
      <w:pPr>
        <w:pStyle w:val="BodyText"/>
      </w:pPr>
      <w:r>
        <w:t xml:space="preserve">Mr. Tarek Mahmoud</w:t>
      </w:r>
      <w:r>
        <w:br/>
      </w:r>
      <w:r>
        <w:t xml:space="preserve">Sales Manager</w:t>
      </w:r>
      <w:r>
        <w:br/>
      </w:r>
      <w:r>
        <w:t xml:space="preserve">Date: _______________</w:t>
      </w:r>
    </w:p>
    <w:bookmarkEnd w:id="27"/>
    <w:p>
      <w:pPr>
        <w:pStyle w:val="BodyText"/>
      </w:pPr>
      <w:r>
        <w:t xml:space="preserve">Purchase Order No. EGY-ALX-2025-04782 | Issued in Alexandria, Egypt | Page 1 of 1</w:t>
      </w:r>
    </w:p>
    <w:p>
      <w:pPr>
        <w:pStyle w:val="BodyText"/>
      </w:pPr>
      <w:r>
        <w:t xml:space="preserve">This document is the property of Alexandria Coastal Development &amp; Construction Co. Unauthorized reproduction is prohibited under Egyptian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Masonry Materials and Services - Alexandria, Egypt</dc:title>
  <dc:creator/>
  <dc:language>en</dc:language>
  <cp:keywords/>
  <dcterms:created xsi:type="dcterms:W3CDTF">2026-10-10T02:42:40Z</dcterms:created>
  <dcterms:modified xsi:type="dcterms:W3CDTF">2026-10-10T02:42:40Z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