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Nile Construction &amp; Development Co., Ltd.</w:t>
      </w:r>
    </w:p>
    <w:p>
      <w:pPr>
        <w:pStyle w:val="BodyText"/>
      </w:pPr>
      <w:r>
        <w:t xml:space="preserve">127 Tahrir Square, Downtown District, Egypt Cairo, 11511</w:t>
      </w:r>
    </w:p>
    <w:p>
      <w:pPr>
        <w:pStyle w:val="BodyText"/>
      </w:pPr>
      <w:r>
        <w:t xml:space="preserve">Tel: +20 2 2578 4433 | Email: procurement@nileconstruction.eg</w:t>
      </w:r>
    </w:p>
    <w:p>
      <w:pPr>
        <w:pStyle w:val="BodyText"/>
      </w:pPr>
      <w:r>
        <w:t xml:space="preserve">Commercial Registration No. 184729 | Tax ID: 552-881-334</w:t>
      </w:r>
    </w:p>
    <w:bookmarkEnd w:id="20"/>
    <w:p>
      <w:pPr>
        <w:pStyle w:val="BodyText"/>
      </w:pPr>
      <w:r>
        <w:rPr>
          <w:bCs/>
          <w:b/>
        </w:rPr>
        <w:t xml:space="preserve">Purchase Order No.:</w:t>
      </w:r>
      <w:r>
        <w:t xml:space="preserve"> </w:t>
      </w:r>
      <w:r>
        <w:t xml:space="preserve">PO-2025-EC-0472</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30 September 2025</w:t>
      </w:r>
    </w:p>
    <w:p>
      <w:pPr>
        <w:pStyle w:val="BodyText"/>
      </w:pPr>
      <w:r>
        <w:rPr>
          <w:bCs/>
          <w:b/>
        </w:rPr>
        <w:t xml:space="preserve">Project Location:</w:t>
      </w:r>
      <w:r>
        <w:t xml:space="preserve"> </w:t>
      </w:r>
      <w:r>
        <w:t xml:space="preserve">Egypt Cairo – New Administrative Capital, District 7</w:t>
      </w:r>
    </w:p>
    <w:p>
      <w:pPr>
        <w:pStyle w:val="BodyText"/>
      </w:pPr>
      <w:r>
        <w:rPr>
          <w:bCs/>
          <w:b/>
        </w:rPr>
        <w:t xml:space="preserve">Project Name:</w:t>
      </w:r>
      <w:r>
        <w:t xml:space="preserve"> </w:t>
      </w:r>
      <w:r>
        <w:t xml:space="preserve">Residential Tower Complex – Phase II</w:t>
      </w:r>
    </w:p>
    <w:p>
      <w:pPr>
        <w:pStyle w:val="BodyText"/>
      </w:pPr>
      <w:r>
        <w:rPr>
          <w:bCs/>
          <w:b/>
        </w:rPr>
        <w:t xml:space="preserve">Payment Currency:</w:t>
      </w:r>
      <w:r>
        <w:t xml:space="preserve"> </w:t>
      </w:r>
      <w:r>
        <w:t xml:space="preserve">Egyptian Pound (EGP)</w:t>
      </w:r>
    </w:p>
    <w:p>
      <w:pPr>
        <w:pStyle w:val="BodyText"/>
      </w:pPr>
      <w:r>
        <w:t xml:space="preserve">SUPPLIER / MASON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Contractor Name</w:t>
            </w:r>
          </w:p>
        </w:tc>
        <w:tc>
          <w:tcPr/>
          <w:p>
            <w:pPr>
              <w:pStyle w:val="Compact"/>
              <w:jc w:val="left"/>
            </w:pPr>
            <w:r>
              <w:t xml:space="preserve">Al-Masri Mason &amp; Stoneworks Trading Co.</w:t>
            </w:r>
          </w:p>
        </w:tc>
      </w:tr>
      <w:tr>
        <w:tc>
          <w:tcPr/>
          <w:p>
            <w:pPr>
              <w:pStyle w:val="Compact"/>
              <w:jc w:val="left"/>
            </w:pPr>
            <w:r>
              <w:rPr>
                <w:bCs/>
                <w:b/>
              </w:rPr>
              <w:t xml:space="preserve">Address</w:t>
            </w:r>
          </w:p>
        </w:tc>
        <w:tc>
          <w:tcPr/>
          <w:p>
            <w:pPr>
              <w:pStyle w:val="Compact"/>
              <w:jc w:val="left"/>
            </w:pPr>
            <w:r>
              <w:t xml:space="preserve">44 El-Gomhoreya Street, Dokki, Egypt Cairo, 12611</w:t>
            </w:r>
          </w:p>
        </w:tc>
      </w:tr>
      <w:tr>
        <w:tc>
          <w:tcPr/>
          <w:p>
            <w:pPr>
              <w:pStyle w:val="Compact"/>
              <w:jc w:val="left"/>
            </w:pPr>
            <w:r>
              <w:rPr>
                <w:bCs/>
                <w:b/>
              </w:rPr>
              <w:t xml:space="preserve">Contact Person</w:t>
            </w:r>
          </w:p>
        </w:tc>
        <w:tc>
          <w:tcPr/>
          <w:p>
            <w:pPr>
              <w:pStyle w:val="Compact"/>
              <w:jc w:val="left"/>
            </w:pPr>
            <w:r>
              <w:t xml:space="preserve">Mr. Hassan Al-Masri – Head of Mason Operations</w:t>
            </w:r>
          </w:p>
        </w:tc>
      </w:tr>
      <w:tr>
        <w:tc>
          <w:tcPr/>
          <w:p>
            <w:pPr>
              <w:pStyle w:val="Compact"/>
              <w:jc w:val="left"/>
            </w:pPr>
            <w:r>
              <w:rPr>
                <w:bCs/>
                <w:b/>
              </w:rPr>
              <w:t xml:space="preserve">Phone / Email</w:t>
            </w:r>
          </w:p>
        </w:tc>
        <w:tc>
          <w:tcPr/>
          <w:p>
            <w:pPr>
              <w:pStyle w:val="Compact"/>
              <w:jc w:val="left"/>
            </w:pPr>
            <w:r>
              <w:t xml:space="preserve">+20 100 554 7788 / h.masri@almasrimason.eg</w:t>
            </w:r>
          </w:p>
        </w:tc>
      </w:tr>
      <w:tr>
        <w:tc>
          <w:tcPr/>
          <w:p>
            <w:pPr>
              <w:pStyle w:val="Compact"/>
              <w:jc w:val="left"/>
            </w:pPr>
            <w:r>
              <w:rPr>
                <w:bCs/>
                <w:b/>
              </w:rPr>
              <w:t xml:space="preserve">Licence No.</w:t>
            </w:r>
          </w:p>
        </w:tc>
        <w:tc>
          <w:tcPr/>
          <w:p>
            <w:pPr>
              <w:pStyle w:val="Compact"/>
              <w:jc w:val="left"/>
            </w:pPr>
            <w:r>
              <w:t xml:space="preserve">Ministry of Housing &amp; Urban Development – Mason Licence No. MC-2019-08834</w:t>
            </w:r>
          </w:p>
        </w:tc>
      </w:tr>
      <w:tr>
        <w:tc>
          <w:tcPr/>
          <w:p>
            <w:pPr>
              <w:pStyle w:val="Compact"/>
              <w:jc w:val="left"/>
            </w:pPr>
            <w:r>
              <w:rPr>
                <w:bCs/>
                <w:b/>
              </w:rPr>
              <w:t xml:space="preserve">Bank Details</w:t>
            </w:r>
          </w:p>
        </w:tc>
        <w:tc>
          <w:tcPr/>
          <w:p>
            <w:pPr>
              <w:pStyle w:val="Compact"/>
              <w:jc w:val="left"/>
            </w:pPr>
            <w:r>
              <w:t xml:space="preserve">National Bank of Egypt, Branch: Dokki, Account: 0044-7721-9935-001</w:t>
            </w:r>
          </w:p>
        </w:tc>
      </w:tr>
    </w:tbl>
    <w:p>
      <w:pPr>
        <w:pStyle w:val="BodyText"/>
      </w:pPr>
      <w:r>
        <w:t xml:space="preserve">SCOPE OF WORK – MASON SERVICES AND MATERIALS</w:t>
      </w:r>
    </w:p>
    <w:p>
      <w:pPr>
        <w:pStyle w:val="BodyText"/>
      </w:pPr>
      <w:r>
        <w:t xml:space="preserve">This Purchase Order is issued by Nile Construction &amp; Development Co., Ltd. to Al-Masri Mason &amp; Stoneworks Trading Co. for the supply of masonry materials and the execution of all mason work required for the Residential Tower Complex – Phase II, located in Egypt Cairo. The mason contractor shall provide all labour, tools, scaffolding, and consumables necessary to complete the masonry scope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Supply and laying of 200mm solid clay bricks for external walls (floors 1–12), including mason labour, mortar mixing, and finishing</w:t>
            </w:r>
          </w:p>
        </w:tc>
        <w:tc>
          <w:tcPr/>
          <w:p>
            <w:pPr>
              <w:pStyle w:val="Compact"/>
              <w:jc w:val="left"/>
            </w:pPr>
            <w:r>
              <w:t xml:space="preserve">m²</w:t>
            </w:r>
          </w:p>
        </w:tc>
        <w:tc>
          <w:tcPr/>
          <w:p>
            <w:pPr>
              <w:pStyle w:val="Compact"/>
              <w:jc w:val="left"/>
            </w:pPr>
            <w:r>
              <w:t xml:space="preserve">4,200</w:t>
            </w:r>
          </w:p>
        </w:tc>
        <w:tc>
          <w:tcPr/>
          <w:p>
            <w:pPr>
              <w:pStyle w:val="Compact"/>
              <w:jc w:val="left"/>
            </w:pPr>
            <w:r>
              <w:t xml:space="preserve">385.00</w:t>
            </w:r>
          </w:p>
        </w:tc>
        <w:tc>
          <w:tcPr/>
          <w:p>
            <w:pPr>
              <w:pStyle w:val="Compact"/>
              <w:jc w:val="left"/>
            </w:pPr>
            <w:r>
              <w:t xml:space="preserve">1,617,000.00</w:t>
            </w:r>
          </w:p>
        </w:tc>
      </w:tr>
      <w:tr>
        <w:tc>
          <w:tcPr/>
          <w:p>
            <w:pPr>
              <w:pStyle w:val="Compact"/>
              <w:jc w:val="left"/>
            </w:pPr>
            <w:r>
              <w:t xml:space="preserve">2</w:t>
            </w:r>
          </w:p>
        </w:tc>
        <w:tc>
          <w:tcPr/>
          <w:p>
            <w:pPr>
              <w:pStyle w:val="Compact"/>
              <w:jc w:val="left"/>
            </w:pPr>
            <w:r>
              <w:t xml:space="preserve">Supply and installation of 100mm hollow concrete blocks for internal partition walls (floors 1–12)</w:t>
            </w:r>
          </w:p>
        </w:tc>
        <w:tc>
          <w:tcPr/>
          <w:p>
            <w:pPr>
              <w:pStyle w:val="Compact"/>
              <w:jc w:val="left"/>
            </w:pPr>
            <w:r>
              <w:t xml:space="preserve">m²</w:t>
            </w:r>
          </w:p>
        </w:tc>
        <w:tc>
          <w:tcPr/>
          <w:p>
            <w:pPr>
              <w:pStyle w:val="Compact"/>
              <w:jc w:val="left"/>
            </w:pPr>
            <w:r>
              <w:t xml:space="preserve">6,800</w:t>
            </w:r>
          </w:p>
        </w:tc>
        <w:tc>
          <w:tcPr/>
          <w:p>
            <w:pPr>
              <w:pStyle w:val="Compact"/>
              <w:jc w:val="left"/>
            </w:pPr>
            <w:r>
              <w:t xml:space="preserve">210.00</w:t>
            </w:r>
          </w:p>
        </w:tc>
        <w:tc>
          <w:tcPr/>
          <w:p>
            <w:pPr>
              <w:pStyle w:val="Compact"/>
              <w:jc w:val="left"/>
            </w:pPr>
            <w:r>
              <w:t xml:space="preserve">1,428,000.00</w:t>
            </w:r>
          </w:p>
        </w:tc>
      </w:tr>
      <w:tr>
        <w:tc>
          <w:tcPr/>
          <w:p>
            <w:pPr>
              <w:pStyle w:val="Compact"/>
              <w:jc w:val="left"/>
            </w:pPr>
            <w:r>
              <w:t xml:space="preserve">3</w:t>
            </w:r>
          </w:p>
        </w:tc>
        <w:tc>
          <w:tcPr/>
          <w:p>
            <w:pPr>
              <w:pStyle w:val="Compact"/>
              <w:jc w:val="left"/>
            </w:pPr>
            <w:r>
              <w:t xml:space="preserve">Mason work for stairwell enclosures, lift shafts, and service risers – full brickwork with cement mortar 1:4</w:t>
            </w:r>
          </w:p>
        </w:tc>
        <w:tc>
          <w:tcPr/>
          <w:p>
            <w:pPr>
              <w:pStyle w:val="Compact"/>
              <w:jc w:val="left"/>
            </w:pPr>
            <w:r>
              <w:t xml:space="preserve">m²</w:t>
            </w:r>
          </w:p>
        </w:tc>
        <w:tc>
          <w:tcPr/>
          <w:p>
            <w:pPr>
              <w:pStyle w:val="Compact"/>
              <w:jc w:val="left"/>
            </w:pPr>
            <w:r>
              <w:t xml:space="preserve">1,150</w:t>
            </w:r>
          </w:p>
        </w:tc>
        <w:tc>
          <w:tcPr/>
          <w:p>
            <w:pPr>
              <w:pStyle w:val="Compact"/>
              <w:jc w:val="left"/>
            </w:pPr>
            <w:r>
              <w:t xml:space="preserve">420.00</w:t>
            </w:r>
          </w:p>
        </w:tc>
        <w:tc>
          <w:tcPr/>
          <w:p>
            <w:pPr>
              <w:pStyle w:val="Compact"/>
              <w:jc w:val="left"/>
            </w:pPr>
            <w:r>
              <w:t xml:space="preserve">483,000.00</w:t>
            </w:r>
          </w:p>
        </w:tc>
      </w:tr>
      <w:tr>
        <w:tc>
          <w:tcPr/>
          <w:p>
            <w:pPr>
              <w:pStyle w:val="Compact"/>
              <w:jc w:val="left"/>
            </w:pPr>
            <w:r>
              <w:t xml:space="preserve">4</w:t>
            </w:r>
          </w:p>
        </w:tc>
        <w:tc>
          <w:tcPr/>
          <w:p>
            <w:pPr>
              <w:pStyle w:val="Compact"/>
              <w:jc w:val="left"/>
            </w:pPr>
            <w:r>
              <w:t xml:space="preserve">Stone cladding and mason finishing for ground-floor lobby and podium façade (local Egyptian limestone, 20mm thick)</w:t>
            </w:r>
          </w:p>
        </w:tc>
        <w:tc>
          <w:tcPr/>
          <w:p>
            <w:pPr>
              <w:pStyle w:val="Compact"/>
              <w:jc w:val="left"/>
            </w:pPr>
            <w:r>
              <w:t xml:space="preserve">m²</w:t>
            </w:r>
          </w:p>
        </w:tc>
        <w:tc>
          <w:tcPr/>
          <w:p>
            <w:pPr>
              <w:pStyle w:val="Compact"/>
              <w:jc w:val="left"/>
            </w:pPr>
            <w:r>
              <w:t xml:space="preserve">860</w:t>
            </w:r>
          </w:p>
        </w:tc>
        <w:tc>
          <w:tcPr/>
          <w:p>
            <w:pPr>
              <w:pStyle w:val="Compact"/>
              <w:jc w:val="left"/>
            </w:pPr>
            <w:r>
              <w:t xml:space="preserve">1,250.00</w:t>
            </w:r>
          </w:p>
        </w:tc>
        <w:tc>
          <w:tcPr/>
          <w:p>
            <w:pPr>
              <w:pStyle w:val="Compact"/>
              <w:jc w:val="left"/>
            </w:pPr>
            <w:r>
              <w:t xml:space="preserve">1,075,000.00</w:t>
            </w:r>
          </w:p>
        </w:tc>
      </w:tr>
      <w:tr>
        <w:tc>
          <w:tcPr/>
          <w:p>
            <w:pPr>
              <w:pStyle w:val="Compact"/>
              <w:jc w:val="left"/>
            </w:pPr>
            <w:r>
              <w:t xml:space="preserve">5</w:t>
            </w:r>
          </w:p>
        </w:tc>
        <w:tc>
          <w:tcPr/>
          <w:p>
            <w:pPr>
              <w:pStyle w:val="Compact"/>
              <w:jc w:val="left"/>
            </w:pPr>
            <w:r>
              <w:t xml:space="preserve">Supply of all masonry consumables: Portland cement (CEM I 42.5N), sharp sand, lime, wire mesh, and bonding agents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6</w:t>
            </w:r>
          </w:p>
        </w:tc>
        <w:tc>
          <w:tcPr/>
          <w:p>
            <w:pPr>
              <w:pStyle w:val="Compact"/>
              <w:jc w:val="left"/>
            </w:pPr>
            <w:r>
              <w:t xml:space="preserve">Mason labour team (12 skilled masons, 8 helpers, 2 foremen) for the full duration of the masonry phase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198,000.00</w:t>
            </w:r>
          </w:p>
        </w:tc>
        <w:tc>
          <w:tcPr/>
          <w:p>
            <w:pPr>
              <w:pStyle w:val="Compact"/>
              <w:jc w:val="left"/>
            </w:pPr>
            <w:r>
              <w:t xml:space="preserve">594,000.00</w:t>
            </w:r>
          </w:p>
        </w:tc>
      </w:tr>
      <w:tr>
        <w:tc>
          <w:tcPr/>
          <w:p>
            <w:pPr>
              <w:pStyle w:val="Compact"/>
              <w:jc w:val="left"/>
            </w:pPr>
            <w:r>
              <w:t xml:space="preserve">7</w:t>
            </w:r>
          </w:p>
        </w:tc>
        <w:tc>
          <w:tcPr/>
          <w:p>
            <w:pPr>
              <w:pStyle w:val="Compact"/>
              <w:jc w:val="left"/>
            </w:pPr>
            <w:r>
              <w:t xml:space="preserve">Scaffolding, formwork, and temporary supports for mason operations at heights up to 45 metres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gridSpan w:val="5"/>
          </w:tcPr>
          <w:p>
            <w:pPr>
              <w:pStyle w:val="Compact"/>
              <w:jc w:val="right"/>
            </w:pPr>
            <w:r>
              <w:t xml:space="preserve">SUBTOTAL</w:t>
            </w:r>
          </w:p>
        </w:tc>
        <w:tc>
          <w:tcPr/>
          <w:p>
            <w:pPr>
              <w:pStyle w:val="Compact"/>
              <w:jc w:val="left"/>
            </w:pPr>
            <w:r>
              <w:t xml:space="preserve">5,654,000.00</w:t>
            </w:r>
          </w:p>
        </w:tc>
      </w:tr>
      <w:tr>
        <w:tc>
          <w:tcPr>
            <w:gridSpan w:val="5"/>
          </w:tcPr>
          <w:p>
            <w:pPr>
              <w:pStyle w:val="Compact"/>
              <w:jc w:val="right"/>
            </w:pPr>
            <w:r>
              <w:t xml:space="preserve">VAT (14% – Egypt Standard Rate)</w:t>
            </w:r>
          </w:p>
        </w:tc>
        <w:tc>
          <w:tcPr/>
          <w:p>
            <w:pPr>
              <w:pStyle w:val="Compact"/>
              <w:jc w:val="left"/>
            </w:pPr>
            <w:r>
              <w:t xml:space="preserve">791,560.00</w:t>
            </w:r>
          </w:p>
        </w:tc>
      </w:tr>
      <w:tr>
        <w:tc>
          <w:tcPr>
            <w:gridSpan w:val="5"/>
          </w:tcPr>
          <w:p>
            <w:pPr>
              <w:pStyle w:val="Compact"/>
              <w:jc w:val="right"/>
            </w:pPr>
            <w:r>
              <w:t xml:space="preserve">GRAND TOTAL (EGP)</w:t>
            </w:r>
          </w:p>
        </w:tc>
        <w:tc>
          <w:tcPr/>
          <w:p>
            <w:pPr>
              <w:pStyle w:val="Compact"/>
              <w:jc w:val="left"/>
            </w:pPr>
            <w:r>
              <w:t xml:space="preserve">6,445,560.00</w:t>
            </w:r>
          </w:p>
        </w:tc>
      </w:tr>
    </w:tbl>
    <w:p>
      <w:pPr>
        <w:pStyle w:val="BodyText"/>
      </w:pPr>
      <w:r>
        <w:t xml:space="preserve">TERMS AND CONDITIONS</w:t>
      </w:r>
    </w:p>
    <w:p>
      <w:pPr>
        <w:numPr>
          <w:ilvl w:val="0"/>
          <w:numId w:val="1001"/>
        </w:numPr>
        <w:pStyle w:val="Compact"/>
      </w:pPr>
      <w:r>
        <w:t xml:space="preserve">This Purchase Order is governed by the laws of the Arab Republic of Egypt and shall be interpreted in accordance with Egyptian commercial and construction regulations applicable in Egypt Cairo.</w:t>
      </w:r>
    </w:p>
    <w:p>
      <w:pPr>
        <w:numPr>
          <w:ilvl w:val="0"/>
          <w:numId w:val="1001"/>
        </w:numPr>
        <w:pStyle w:val="Compact"/>
      </w:pPr>
      <w:r>
        <w:t xml:space="preserve">The mason contractor shall mobilise all personnel, materials, and equipment to the project site in Egypt Cairo no later than 20 June 2025. Failure to mobilise within this window shall incur a penalty of EGP 15,000 per calendar day.</w:t>
      </w:r>
    </w:p>
    <w:p>
      <w:pPr>
        <w:numPr>
          <w:ilvl w:val="0"/>
          <w:numId w:val="1001"/>
        </w:numPr>
        <w:pStyle w:val="Compact"/>
      </w:pPr>
      <w:r>
        <w:t xml:space="preserve">All masonry work must comply with the Egyptian Building Code (EBC 2021), the specifications outlined in the project drawings (Rev. C, dated 01 May 2025), and the quality standards set by the Ministry of Housing and Urban Development for Egypt Cairo projects.</w:t>
      </w:r>
    </w:p>
    <w:p>
      <w:pPr>
        <w:numPr>
          <w:ilvl w:val="0"/>
          <w:numId w:val="1001"/>
        </w:numPr>
        <w:pStyle w:val="Compact"/>
      </w:pPr>
      <w:r>
        <w:t xml:space="preserve">Payment shall be made in three equal instalments (33.33% each) upon certified progress milestones: (a) completion of floors 1–4 masonry, (b) completion of floors 5–8 masonry, and (c) completion of floors 9–12 masonry plus all finishing works. Each payment is due within 30 days of the project engineer's certification.</w:t>
      </w:r>
    </w:p>
    <w:p>
      <w:pPr>
        <w:numPr>
          <w:ilvl w:val="0"/>
          <w:numId w:val="1001"/>
        </w:numPr>
        <w:pStyle w:val="Compact"/>
      </w:pPr>
      <w:r>
        <w:t xml:space="preserve">The mason contractor shall maintain valid third-party liability insurance and workers' compensation coverage for all mason labourers throughout the duration of this Purchase Order, with minimum coverage of EGP 10,000,000.</w:t>
      </w:r>
    </w:p>
    <w:p>
      <w:pPr>
        <w:numPr>
          <w:ilvl w:val="0"/>
          <w:numId w:val="1001"/>
        </w:numPr>
        <w:pStyle w:val="Compact"/>
      </w:pPr>
      <w:r>
        <w:t xml:space="preserve">All materials supplied under this Purchase Order must be sourced from approved Egyptian manufacturers. Substitution of any material requires prior written approval from the project architect and structural engineer.</w:t>
      </w:r>
    </w:p>
    <w:p>
      <w:pPr>
        <w:numPr>
          <w:ilvl w:val="0"/>
          <w:numId w:val="1001"/>
        </w:numPr>
        <w:pStyle w:val="Compact"/>
      </w:pPr>
      <w:r>
        <w:t xml:space="preserve">The mason contractor is responsible for all waste disposal, site housekeeping, and compliance with Egypt Cairo municipal environmental regulations. Debris and off-cuts must be removed from the site daily.</w:t>
      </w:r>
    </w:p>
    <w:p>
      <w:pPr>
        <w:numPr>
          <w:ilvl w:val="0"/>
          <w:numId w:val="1001"/>
        </w:numPr>
        <w:pStyle w:val="Compact"/>
      </w:pPr>
      <w:r>
        <w:t xml:space="preserve">A retention sum of 5% (EGP 322,278.00) shall be withheld from the final payment and released 12 months after practical completion, subject to a satisfactory defect-liability inspection.</w:t>
      </w:r>
    </w:p>
    <w:p>
      <w:pPr>
        <w:numPr>
          <w:ilvl w:val="0"/>
          <w:numId w:val="1001"/>
        </w:numPr>
        <w:pStyle w:val="Compact"/>
      </w:pPr>
      <w:r>
        <w:t xml:space="preserve">Any variation or change order to the masonry scope must be documented in a written amendment to this Purchase Order, signed by both parties, before additional work commences.</w:t>
      </w:r>
    </w:p>
    <w:p>
      <w:pPr>
        <w:numPr>
          <w:ilvl w:val="0"/>
          <w:numId w:val="1001"/>
        </w:numPr>
        <w:pStyle w:val="Compact"/>
      </w:pPr>
      <w:r>
        <w:t xml:space="preserve">Disputes arising from this Purchase Order shall be resolved through arbitration in Egypt Cairo in accordance with the rules of the Egyptian Arbitration Centre, and the language of arbitration shall be English.</w:t>
      </w:r>
    </w:p>
    <w:p>
      <w:pPr>
        <w:pStyle w:val="FirstParagraph"/>
      </w:pPr>
      <w:r>
        <w:rPr>
          <w:bCs/>
          <w:b/>
        </w:rPr>
        <w:t xml:space="preserve">NOTE:</w:t>
      </w:r>
      <w:r>
        <w:t xml:space="preserve"> </w:t>
      </w:r>
      <w:r>
        <w:t xml:space="preserve">This Purchase Order is valid for acceptance within 7 calendar days from the date of issue. The mason contractor's acceptance shall be confirmed by signing and returning a copy of this document to Nile Construction &amp; Development Co., Ltd. at the Egypt Cairo headquarters. No work shall commence until a signed copy is on file and the initial mobilisation deposit of 10% has been received.</w:t>
      </w:r>
    </w:p>
    <w:p>
      <w:pPr>
        <w:pStyle w:val="BodyText"/>
      </w:pPr>
      <w:r>
        <w:t xml:space="preserve">AUTHORISATION AND ACCEPTANCE</w:t>
      </w:r>
    </w:p>
    <w:p>
      <w:pPr>
        <w:pStyle w:val="BodyText"/>
      </w:pPr>
      <w:r>
        <w:rPr>
          <w:bCs/>
          <w:b/>
        </w:rPr>
        <w:t xml:space="preserve">For and on behalf of:</w:t>
      </w:r>
      <w:r>
        <w:br/>
      </w:r>
      <w:r>
        <w:t xml:space="preserve">Nile Construction &amp; Development Co., Ltd.</w:t>
      </w:r>
    </w:p>
    <w:p>
      <w:pPr>
        <w:pStyle w:val="BodyText"/>
      </w:pPr>
      <w:r>
        <w:t xml:space="preserve">Mr. Khaled El-Sayed</w:t>
      </w:r>
      <w:r>
        <w:br/>
      </w:r>
      <w:r>
        <w:t xml:space="preserve">Procurement Director</w:t>
      </w:r>
    </w:p>
    <w:p>
      <w:pPr>
        <w:pStyle w:val="BodyText"/>
      </w:pPr>
      <w:r>
        <w:t xml:space="preserve">Date: _______________</w:t>
      </w:r>
    </w:p>
    <w:p>
      <w:pPr>
        <w:pStyle w:val="BodyText"/>
      </w:pPr>
      <w:r>
        <w:rPr>
          <w:bCs/>
          <w:b/>
        </w:rPr>
        <w:t xml:space="preserve">For and on behalf of:</w:t>
      </w:r>
      <w:r>
        <w:br/>
      </w:r>
      <w:r>
        <w:t xml:space="preserve">Al-Masri Mason &amp; Stoneworks Trading Co.</w:t>
      </w:r>
    </w:p>
    <w:p>
      <w:pPr>
        <w:pStyle w:val="BodyText"/>
      </w:pPr>
      <w:r>
        <w:t xml:space="preserve">Mr. Hassan Al-Masri</w:t>
      </w:r>
      <w:r>
        <w:br/>
      </w:r>
      <w:r>
        <w:t xml:space="preserve">Head of Mason Operations</w:t>
      </w:r>
    </w:p>
    <w:p>
      <w:pPr>
        <w:pStyle w:val="BodyText"/>
      </w:pPr>
      <w:r>
        <w:t xml:space="preserve">Date: _______________</w:t>
      </w:r>
    </w:p>
    <w:p>
      <w:pPr>
        <w:pStyle w:val="BodyText"/>
      </w:pPr>
      <w:r>
        <w:t xml:space="preserve">Purchase Order PO-2025-EC-0472 | Nile Construction &amp; Development Co., Ltd. | Egypt Cairo</w:t>
      </w:r>
    </w:p>
    <w:p>
      <w:pPr>
        <w:pStyle w:val="BodyText"/>
      </w:pPr>
      <w:r>
        <w:t xml:space="preserve">This document is the property of Nile Construction &amp; Development Co., Ltd.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Egypt Cairo</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