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S.r.l.</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Mason S.r.l. — Construction &amp; Masonry Materials — Italy Milan</w:t>
      </w:r>
    </w:p>
    <w:p>
      <w:pPr>
        <w:pStyle w:val="BodyText"/>
      </w:pPr>
      <w:r>
        <w:t xml:space="preserve">PO-2025-ITM-0472</w:t>
      </w:r>
    </w:p>
    <w:bookmarkEnd w:id="20"/>
    <w:bookmarkStart w:id="21" w:name="buyer-issuing-party"/>
    <w:p>
      <w:pPr>
        <w:pStyle w:val="Heading3"/>
      </w:pPr>
      <w:r>
        <w:t xml:space="preserve">Buyer (Issuing Party)</w:t>
      </w:r>
    </w:p>
    <w:p>
      <w:pPr>
        <w:pStyle w:val="FirstParagraph"/>
      </w:pPr>
      <w:r>
        <w:rPr>
          <w:bCs/>
          <w:b/>
        </w:rPr>
        <w:t xml:space="preserve">Mason S.r.l.</w:t>
      </w:r>
    </w:p>
    <w:p>
      <w:pPr>
        <w:pStyle w:val="BodyText"/>
      </w:pPr>
      <w:r>
        <w:t xml:space="preserve">Via Torino 142, 20129</w:t>
      </w:r>
    </w:p>
    <w:p>
      <w:pPr>
        <w:pStyle w:val="BodyText"/>
      </w:pPr>
      <w:r>
        <w:t xml:space="preserve">Milan, Italy</w:t>
      </w:r>
    </w:p>
    <w:p>
      <w:pPr>
        <w:pStyle w:val="BodyText"/>
      </w:pPr>
      <w:r>
        <w:t xml:space="preserve">VAT: IT09876543210</w:t>
      </w:r>
    </w:p>
    <w:p>
      <w:pPr>
        <w:pStyle w:val="BodyText"/>
      </w:pPr>
      <w:r>
        <w:t xml:space="preserve">Phone: +39 02 5551 8834</w:t>
      </w:r>
    </w:p>
    <w:p>
      <w:pPr>
        <w:pStyle w:val="BodyText"/>
      </w:pPr>
      <w:r>
        <w:t xml:space="preserve">Email: procurement@mason-italy.it</w:t>
      </w:r>
    </w:p>
    <w:p>
      <w:pPr>
        <w:pStyle w:val="BodyText"/>
      </w:pPr>
      <w:r>
        <w:t xml:space="preserve">Website: www.mason-italy.it</w:t>
      </w:r>
    </w:p>
    <w:bookmarkEnd w:id="21"/>
    <w:bookmarkStart w:id="22" w:name="supplier-vendor"/>
    <w:p>
      <w:pPr>
        <w:pStyle w:val="Heading3"/>
      </w:pPr>
      <w:r>
        <w:t xml:space="preserve">Supplier (Vendor)</w:t>
      </w:r>
    </w:p>
    <w:p>
      <w:pPr>
        <w:pStyle w:val="FirstParagraph"/>
      </w:pPr>
      <w:r>
        <w:rPr>
          <w:bCs/>
          <w:b/>
        </w:rPr>
        <w:t xml:space="preserve">EdilCostruzioni Lombardi S.p.A.</w:t>
      </w:r>
    </w:p>
    <w:p>
      <w:pPr>
        <w:pStyle w:val="BodyText"/>
      </w:pPr>
      <w:r>
        <w:t xml:space="preserve">Via dell'Industria 88, 20090</w:t>
      </w:r>
    </w:p>
    <w:p>
      <w:pPr>
        <w:pStyle w:val="BodyText"/>
      </w:pPr>
      <w:r>
        <w:t xml:space="preserve">Settala (MI), Italy Milan Metropolitan Area</w:t>
      </w:r>
    </w:p>
    <w:p>
      <w:pPr>
        <w:pStyle w:val="BodyText"/>
      </w:pPr>
      <w:r>
        <w:t xml:space="preserve">VAT: IT04567891234</w:t>
      </w:r>
    </w:p>
    <w:p>
      <w:pPr>
        <w:pStyle w:val="BodyText"/>
      </w:pPr>
      <w:r>
        <w:t xml:space="preserve">Phone: +39 02 3344 7712</w:t>
      </w:r>
    </w:p>
    <w:p>
      <w:pPr>
        <w:pStyle w:val="BodyText"/>
      </w:pPr>
      <w:r>
        <w:t xml:space="preserve">Email: sales@edilcostruzionilombardi.it</w:t>
      </w:r>
    </w:p>
    <w:bookmarkEnd w:id="22"/>
    <w:p>
      <w:pPr>
        <w:pStyle w:val="BodyText"/>
      </w:pPr>
      <w:r>
        <w:rPr>
          <w:bCs/>
          <w:b/>
        </w:rPr>
        <w:t xml:space="preserve">Purchase Order No.:</w:t>
      </w:r>
      <w:r>
        <w:t xml:space="preserve"> </w:t>
      </w:r>
      <w:r>
        <w:t xml:space="preserve">PO-2025-ITM-0472</w:t>
      </w:r>
      <w:r>
        <w:t xml:space="preserve"> </w:t>
      </w:r>
      <w:r>
        <w:rPr>
          <w:bCs/>
          <w:b/>
        </w:rPr>
        <w:t xml:space="preserve">Date of Issue:</w:t>
      </w:r>
      <w:r>
        <w:t xml:space="preserve"> </w:t>
      </w:r>
      <w:r>
        <w:t xml:space="preserve">14 June 2025</w:t>
      </w:r>
      <w:r>
        <w:t xml:space="preserve"> </w:t>
      </w:r>
      <w:r>
        <w:rPr>
          <w:bCs/>
          <w:b/>
        </w:rPr>
        <w:t xml:space="preserve">Required Delivery Date:</w:t>
      </w:r>
      <w:r>
        <w:t xml:space="preserve"> </w:t>
      </w:r>
      <w:r>
        <w:t xml:space="preserve">05 July 2025</w:t>
      </w:r>
      <w:r>
        <w:t xml:space="preserve"> </w:t>
      </w:r>
      <w:r>
        <w:rPr>
          <w:bCs/>
          <w:b/>
        </w:rPr>
        <w:t xml:space="preserve">Project Reference:</w:t>
      </w:r>
      <w:r>
        <w:t xml:space="preserve"> </w:t>
      </w:r>
      <w:r>
        <w:t xml:space="preserve">Mason Milan Tower — Phase II</w:t>
      </w:r>
      <w:r>
        <w:t xml:space="preserve"> </w:t>
      </w:r>
      <w:r>
        <w:rPr>
          <w:bCs/>
          <w:b/>
        </w:rPr>
        <w:t xml:space="preserve">Delivery Location:</w:t>
      </w:r>
      <w:r>
        <w:t xml:space="preserve"> </w:t>
      </w:r>
      <w:r>
        <w:t xml:space="preserve">Italy Milan, Via Torino 142</w:t>
      </w:r>
    </w:p>
    <w:bookmarkStart w:id="24" w:name="Xc95d3f3451278f1addfcf05e6b8559cdfac4a59"/>
    <w:p>
      <w:pPr>
        <w:pStyle w:val="Heading2"/>
      </w:pPr>
      <w:r>
        <w:t xml:space="preserve">Line Items — Mason S.r.l. Purchase Order for Italy Milan Site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Masonry Blocks (Calcium Silicate)</w:t>
            </w:r>
          </w:p>
        </w:tc>
        <w:tc>
          <w:tcPr/>
          <w:p>
            <w:pPr>
              <w:pStyle w:val="Compact"/>
              <w:jc w:val="left"/>
            </w:pPr>
            <w:r>
              <w:t xml:space="preserve">400x200x200 mm, Class 6, EN 771-2</w:t>
            </w:r>
          </w:p>
        </w:tc>
        <w:tc>
          <w:tcPr/>
          <w:p>
            <w:pPr>
              <w:pStyle w:val="Compact"/>
              <w:jc w:val="left"/>
            </w:pPr>
            <w:r>
              <w:t xml:space="preserve">pcs</w:t>
            </w:r>
          </w:p>
        </w:tc>
        <w:tc>
          <w:tcPr/>
          <w:p>
            <w:pPr>
              <w:pStyle w:val="Compact"/>
              <w:jc w:val="left"/>
            </w:pPr>
            <w:r>
              <w:t xml:space="preserve">12,500</w:t>
            </w:r>
          </w:p>
        </w:tc>
        <w:tc>
          <w:tcPr/>
          <w:p>
            <w:pPr>
              <w:pStyle w:val="Compact"/>
              <w:jc w:val="left"/>
            </w:pPr>
            <w:r>
              <w:t xml:space="preserve">1.85</w:t>
            </w:r>
          </w:p>
        </w:tc>
        <w:tc>
          <w:tcPr/>
          <w:p>
            <w:pPr>
              <w:pStyle w:val="Compact"/>
              <w:jc w:val="left"/>
            </w:pPr>
            <w:r>
              <w:t xml:space="preserve">23,125.00</w:t>
            </w:r>
          </w:p>
        </w:tc>
      </w:tr>
      <w:tr>
        <w:tc>
          <w:tcPr/>
          <w:p>
            <w:pPr>
              <w:pStyle w:val="Compact"/>
              <w:jc w:val="left"/>
            </w:pPr>
            <w:r>
              <w:t xml:space="preserve">02</w:t>
            </w:r>
          </w:p>
        </w:tc>
        <w:tc>
          <w:tcPr/>
          <w:p>
            <w:pPr>
              <w:pStyle w:val="Compact"/>
              <w:jc w:val="left"/>
            </w:pPr>
            <w:r>
              <w:t xml:space="preserve">Portland Cement CEM I 42.5 R</w:t>
            </w:r>
          </w:p>
        </w:tc>
        <w:tc>
          <w:tcPr/>
          <w:p>
            <w:pPr>
              <w:pStyle w:val="Compact"/>
              <w:jc w:val="left"/>
            </w:pPr>
            <w:r>
              <w:t xml:space="preserve">50 kg bags, EN 197-1</w:t>
            </w:r>
          </w:p>
        </w:tc>
        <w:tc>
          <w:tcPr/>
          <w:p>
            <w:pPr>
              <w:pStyle w:val="Compact"/>
              <w:jc w:val="left"/>
            </w:pPr>
            <w:r>
              <w:t xml:space="preserve">bags</w:t>
            </w:r>
          </w:p>
        </w:tc>
        <w:tc>
          <w:tcPr/>
          <w:p>
            <w:pPr>
              <w:pStyle w:val="Compact"/>
              <w:jc w:val="left"/>
            </w:pPr>
            <w:r>
              <w:t xml:space="preserve">3,200</w:t>
            </w:r>
          </w:p>
        </w:tc>
        <w:tc>
          <w:tcPr/>
          <w:p>
            <w:pPr>
              <w:pStyle w:val="Compact"/>
              <w:jc w:val="left"/>
            </w:pPr>
            <w:r>
              <w:t xml:space="preserve">7.40</w:t>
            </w:r>
          </w:p>
        </w:tc>
        <w:tc>
          <w:tcPr/>
          <w:p>
            <w:pPr>
              <w:pStyle w:val="Compact"/>
              <w:jc w:val="left"/>
            </w:pPr>
            <w:r>
              <w:t xml:space="preserve">23,680.00</w:t>
            </w:r>
          </w:p>
        </w:tc>
      </w:tr>
      <w:tr>
        <w:tc>
          <w:tcPr/>
          <w:p>
            <w:pPr>
              <w:pStyle w:val="Compact"/>
              <w:jc w:val="left"/>
            </w:pPr>
            <w:r>
              <w:t xml:space="preserve">03</w:t>
            </w:r>
          </w:p>
        </w:tc>
        <w:tc>
          <w:tcPr/>
          <w:p>
            <w:pPr>
              <w:pStyle w:val="Compact"/>
              <w:jc w:val="left"/>
            </w:pPr>
            <w:r>
              <w:t xml:space="preserve">Washed River Sand (0-4 mm)</w:t>
            </w:r>
          </w:p>
        </w:tc>
        <w:tc>
          <w:tcPr/>
          <w:p>
            <w:pPr>
              <w:pStyle w:val="Compact"/>
              <w:jc w:val="left"/>
            </w:pPr>
            <w:r>
              <w:t xml:space="preserve">Loose, EN 12620</w:t>
            </w:r>
          </w:p>
        </w:tc>
        <w:tc>
          <w:tcPr/>
          <w:p>
            <w:pPr>
              <w:pStyle w:val="Compact"/>
              <w:jc w:val="left"/>
            </w:pPr>
            <w:r>
              <w:t xml:space="preserve">m³</w:t>
            </w:r>
          </w:p>
        </w:tc>
        <w:tc>
          <w:tcPr/>
          <w:p>
            <w:pPr>
              <w:pStyle w:val="Compact"/>
              <w:jc w:val="left"/>
            </w:pPr>
            <w:r>
              <w:t xml:space="preserve">180</w:t>
            </w:r>
          </w:p>
        </w:tc>
        <w:tc>
          <w:tcPr/>
          <w:p>
            <w:pPr>
              <w:pStyle w:val="Compact"/>
              <w:jc w:val="left"/>
            </w:pPr>
            <w:r>
              <w:t xml:space="preserve">38.00</w:t>
            </w:r>
          </w:p>
        </w:tc>
        <w:tc>
          <w:tcPr/>
          <w:p>
            <w:pPr>
              <w:pStyle w:val="Compact"/>
              <w:jc w:val="left"/>
            </w:pPr>
            <w:r>
              <w:t xml:space="preserve">6,840.00</w:t>
            </w:r>
          </w:p>
        </w:tc>
      </w:tr>
      <w:tr>
        <w:tc>
          <w:tcPr/>
          <w:p>
            <w:pPr>
              <w:pStyle w:val="Compact"/>
              <w:jc w:val="left"/>
            </w:pPr>
            <w:r>
              <w:t xml:space="preserve">04</w:t>
            </w:r>
          </w:p>
        </w:tc>
        <w:tc>
          <w:tcPr/>
          <w:p>
            <w:pPr>
              <w:pStyle w:val="Compact"/>
              <w:jc w:val="left"/>
            </w:pPr>
            <w:r>
              <w:t xml:space="preserve">Granite Aggregate 8-16 mm</w:t>
            </w:r>
          </w:p>
        </w:tc>
        <w:tc>
          <w:tcPr/>
          <w:p>
            <w:pPr>
              <w:pStyle w:val="Compact"/>
              <w:jc w:val="left"/>
            </w:pPr>
            <w:r>
              <w:t xml:space="preserve">Crushed, EN 12620</w:t>
            </w:r>
          </w:p>
        </w:tc>
        <w:tc>
          <w:tcPr/>
          <w:p>
            <w:pPr>
              <w:pStyle w:val="Compact"/>
              <w:jc w:val="left"/>
            </w:pPr>
            <w:r>
              <w:t xml:space="preserve">m³</w:t>
            </w:r>
          </w:p>
        </w:tc>
        <w:tc>
          <w:tcPr/>
          <w:p>
            <w:pPr>
              <w:pStyle w:val="Compact"/>
              <w:jc w:val="left"/>
            </w:pPr>
            <w:r>
              <w:t xml:space="preserve">140</w:t>
            </w:r>
          </w:p>
        </w:tc>
        <w:tc>
          <w:tcPr/>
          <w:p>
            <w:pPr>
              <w:pStyle w:val="Compact"/>
              <w:jc w:val="left"/>
            </w:pPr>
            <w:r>
              <w:t xml:space="preserve">52.00</w:t>
            </w:r>
          </w:p>
        </w:tc>
        <w:tc>
          <w:tcPr/>
          <w:p>
            <w:pPr>
              <w:pStyle w:val="Compact"/>
              <w:jc w:val="left"/>
            </w:pPr>
            <w:r>
              <w:t xml:space="preserve">7,280.00</w:t>
            </w:r>
          </w:p>
        </w:tc>
      </w:tr>
      <w:tr>
        <w:tc>
          <w:tcPr/>
          <w:p>
            <w:pPr>
              <w:pStyle w:val="Compact"/>
              <w:jc w:val="left"/>
            </w:pPr>
            <w:r>
              <w:t xml:space="preserve">05</w:t>
            </w:r>
          </w:p>
        </w:tc>
        <w:tc>
          <w:tcPr/>
          <w:p>
            <w:pPr>
              <w:pStyle w:val="Compact"/>
              <w:jc w:val="left"/>
            </w:pPr>
            <w:r>
              <w:t xml:space="preserve">Reinforcing Steel Bars B500B</w:t>
            </w:r>
          </w:p>
        </w:tc>
        <w:tc>
          <w:tcPr/>
          <w:p>
            <w:pPr>
              <w:pStyle w:val="Compact"/>
              <w:jc w:val="left"/>
            </w:pPr>
            <w:r>
              <w:t xml:space="preserve">Ø12 mm, 12 m lengths, EN 10080</w:t>
            </w:r>
          </w:p>
        </w:tc>
        <w:tc>
          <w:tcPr/>
          <w:p>
            <w:pPr>
              <w:pStyle w:val="Compact"/>
              <w:jc w:val="left"/>
            </w:pPr>
            <w:r>
              <w:t xml:space="preserve">tonnes</w:t>
            </w:r>
          </w:p>
        </w:tc>
        <w:tc>
          <w:tcPr/>
          <w:p>
            <w:pPr>
              <w:pStyle w:val="Compact"/>
              <w:jc w:val="left"/>
            </w:pPr>
            <w:r>
              <w:t xml:space="preserve">45</w:t>
            </w:r>
          </w:p>
        </w:tc>
        <w:tc>
          <w:tcPr/>
          <w:p>
            <w:pPr>
              <w:pStyle w:val="Compact"/>
              <w:jc w:val="left"/>
            </w:pPr>
            <w:r>
              <w:t xml:space="preserve">1,120.00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Waterproofing Membrane (Bituminous)</w:t>
            </w:r>
          </w:p>
        </w:tc>
        <w:tc>
          <w:tcPr/>
          <w:p>
            <w:pPr>
              <w:pStyle w:val="Compact"/>
              <w:jc w:val="left"/>
            </w:pPr>
            <w:r>
              <w:t xml:space="preserve">4 mm SBS, 10 m rolls</w:t>
            </w:r>
          </w:p>
        </w:tc>
        <w:tc>
          <w:tcPr/>
          <w:p>
            <w:pPr>
              <w:pStyle w:val="Compact"/>
              <w:jc w:val="left"/>
            </w:pPr>
            <w:r>
              <w:t xml:space="preserve">rolls</w:t>
            </w:r>
          </w:p>
        </w:tc>
        <w:tc>
          <w:tcPr/>
          <w:p>
            <w:pPr>
              <w:pStyle w:val="Compact"/>
              <w:jc w:val="left"/>
            </w:pPr>
            <w:r>
              <w:t xml:space="preserve">220</w:t>
            </w:r>
          </w:p>
        </w:tc>
        <w:tc>
          <w:tcPr/>
          <w:p>
            <w:pPr>
              <w:pStyle w:val="Compact"/>
              <w:jc w:val="left"/>
            </w:pPr>
            <w:r>
              <w:t xml:space="preserve">94.50</w:t>
            </w:r>
          </w:p>
        </w:tc>
        <w:tc>
          <w:tcPr/>
          <w:p>
            <w:pPr>
              <w:pStyle w:val="Compact"/>
              <w:jc w:val="left"/>
            </w:pPr>
            <w:r>
              <w:t xml:space="preserve">20,790.00</w:t>
            </w:r>
          </w:p>
        </w:tc>
      </w:tr>
      <w:tr>
        <w:tc>
          <w:tcPr/>
          <w:p>
            <w:pPr>
              <w:pStyle w:val="Compact"/>
              <w:jc w:val="left"/>
            </w:pPr>
            <w:r>
              <w:t xml:space="preserve">07</w:t>
            </w:r>
          </w:p>
        </w:tc>
        <w:tc>
          <w:tcPr/>
          <w:p>
            <w:pPr>
              <w:pStyle w:val="Compact"/>
              <w:jc w:val="left"/>
            </w:pPr>
            <w:r>
              <w:t xml:space="preserve">Pre-mixed Masonry Mortar</w:t>
            </w:r>
          </w:p>
        </w:tc>
        <w:tc>
          <w:tcPr/>
          <w:p>
            <w:pPr>
              <w:pStyle w:val="Compact"/>
              <w:jc w:val="left"/>
            </w:pPr>
            <w:r>
              <w:t xml:space="preserve">25 kg bags, EN 998-2, Type M5</w:t>
            </w:r>
          </w:p>
        </w:tc>
        <w:tc>
          <w:tcPr/>
          <w:p>
            <w:pPr>
              <w:pStyle w:val="Compact"/>
              <w:jc w:val="left"/>
            </w:pPr>
            <w:r>
              <w:t xml:space="preserve">bags</w:t>
            </w:r>
          </w:p>
        </w:tc>
        <w:tc>
          <w:tcPr/>
          <w:p>
            <w:pPr>
              <w:pStyle w:val="Compact"/>
              <w:jc w:val="left"/>
            </w:pPr>
            <w:r>
              <w:t xml:space="preserve">4,800</w:t>
            </w:r>
          </w:p>
        </w:tc>
        <w:tc>
          <w:tcPr/>
          <w:p>
            <w:pPr>
              <w:pStyle w:val="Compact"/>
              <w:jc w:val="left"/>
            </w:pPr>
            <w:r>
              <w:t xml:space="preserve">4.20</w:t>
            </w:r>
          </w:p>
        </w:tc>
        <w:tc>
          <w:tcPr/>
          <w:p>
            <w:pPr>
              <w:pStyle w:val="Compact"/>
              <w:jc w:val="left"/>
            </w:pPr>
            <w:r>
              <w:t xml:space="preserve">20,160.00</w:t>
            </w:r>
          </w:p>
        </w:tc>
      </w:tr>
      <w:tr>
        <w:tc>
          <w:tcPr/>
          <w:p>
            <w:pPr>
              <w:pStyle w:val="Compact"/>
              <w:jc w:val="left"/>
            </w:pPr>
            <w:r>
              <w:t xml:space="preserve">08</w:t>
            </w:r>
          </w:p>
        </w:tc>
        <w:tc>
          <w:tcPr/>
          <w:p>
            <w:pPr>
              <w:pStyle w:val="Compact"/>
              <w:jc w:val="left"/>
            </w:pPr>
            <w:r>
              <w:t xml:space="preserve">Galvanized Steel Wall Ties</w:t>
            </w:r>
          </w:p>
        </w:tc>
        <w:tc>
          <w:tcPr/>
          <w:p>
            <w:pPr>
              <w:pStyle w:val="Compact"/>
              <w:jc w:val="left"/>
            </w:pPr>
            <w:r>
              <w:t xml:space="preserve">200 mm, 1.2 mm thickness</w:t>
            </w:r>
          </w:p>
        </w:tc>
        <w:tc>
          <w:tcPr/>
          <w:p>
            <w:pPr>
              <w:pStyle w:val="Compact"/>
              <w:jc w:val="left"/>
            </w:pPr>
            <w:r>
              <w:t xml:space="preserve">pcs</w:t>
            </w:r>
          </w:p>
        </w:tc>
        <w:tc>
          <w:tcPr/>
          <w:p>
            <w:pPr>
              <w:pStyle w:val="Compact"/>
              <w:jc w:val="left"/>
            </w:pPr>
            <w:r>
              <w:t xml:space="preserve">8,000</w:t>
            </w:r>
          </w:p>
        </w:tc>
        <w:tc>
          <w:tcPr/>
          <w:p>
            <w:pPr>
              <w:pStyle w:val="Compact"/>
              <w:jc w:val="left"/>
            </w:pPr>
            <w:r>
              <w:t xml:space="preserve">0.65</w:t>
            </w:r>
          </w:p>
        </w:tc>
        <w:tc>
          <w:tcPr/>
          <w:p>
            <w:pPr>
              <w:pStyle w:val="Compact"/>
              <w:jc w:val="left"/>
            </w:pPr>
            <w:r>
              <w:t xml:space="preserve">5,200.00</w:t>
            </w:r>
          </w:p>
        </w:tc>
      </w:tr>
      <w:tr>
        <w:tc>
          <w:tcPr/>
          <w:p>
            <w:pPr>
              <w:pStyle w:val="Compact"/>
              <w:jc w:val="left"/>
            </w:pPr>
            <w:r>
              <w:t xml:space="preserve">09</w:t>
            </w:r>
          </w:p>
        </w:tc>
        <w:tc>
          <w:tcPr/>
          <w:p>
            <w:pPr>
              <w:pStyle w:val="Compact"/>
              <w:jc w:val="left"/>
            </w:pPr>
            <w:r>
              <w:t xml:space="preserve">Insulation Panels (Mineral Wool)</w:t>
            </w:r>
          </w:p>
        </w:tc>
        <w:tc>
          <w:tcPr/>
          <w:p>
            <w:pPr>
              <w:pStyle w:val="Compact"/>
              <w:jc w:val="left"/>
            </w:pPr>
            <w:r>
              <w:t xml:space="preserve">100 mm, λ 0.035 W/mK</w:t>
            </w:r>
          </w:p>
        </w:tc>
        <w:tc>
          <w:tcPr/>
          <w:p>
            <w:pPr>
              <w:pStyle w:val="Compact"/>
              <w:jc w:val="left"/>
            </w:pPr>
            <w:r>
              <w:t xml:space="preserve">m²</w:t>
            </w:r>
          </w:p>
        </w:tc>
        <w:tc>
          <w:tcPr/>
          <w:p>
            <w:pPr>
              <w:pStyle w:val="Compact"/>
              <w:jc w:val="left"/>
            </w:pPr>
            <w:r>
              <w:t xml:space="preserve">2,400</w:t>
            </w:r>
          </w:p>
        </w:tc>
        <w:tc>
          <w:tcPr/>
          <w:p>
            <w:pPr>
              <w:pStyle w:val="Compact"/>
              <w:jc w:val="left"/>
            </w:pPr>
            <w:r>
              <w:t xml:space="preserve">12.80</w:t>
            </w:r>
          </w:p>
        </w:tc>
        <w:tc>
          <w:tcPr/>
          <w:p>
            <w:pPr>
              <w:pStyle w:val="Compact"/>
              <w:jc w:val="left"/>
            </w:pPr>
            <w:r>
              <w:t xml:space="preserve">30,720.00</w:t>
            </w:r>
          </w:p>
        </w:tc>
      </w:tr>
      <w:tr>
        <w:tc>
          <w:tcPr/>
          <w:p>
            <w:pPr>
              <w:pStyle w:val="Compact"/>
              <w:jc w:val="left"/>
            </w:pPr>
            <w:r>
              <w:t xml:space="preserve">10</w:t>
            </w:r>
          </w:p>
        </w:tc>
        <w:tc>
          <w:tcPr/>
          <w:p>
            <w:pPr>
              <w:pStyle w:val="Compact"/>
              <w:jc w:val="left"/>
            </w:pPr>
            <w:r>
              <w:t xml:space="preserve">Construction Scaffolding (Modular)</w:t>
            </w:r>
          </w:p>
        </w:tc>
        <w:tc>
          <w:tcPr/>
          <w:p>
            <w:pPr>
              <w:pStyle w:val="Compact"/>
              <w:jc w:val="left"/>
            </w:pPr>
            <w:r>
              <w:t xml:space="preserve">6 m height, EN 12811-1</w:t>
            </w:r>
          </w:p>
        </w:tc>
        <w:tc>
          <w:tcPr/>
          <w:p>
            <w:pPr>
              <w:pStyle w:val="Compact"/>
              <w:jc w:val="left"/>
            </w:pPr>
            <w:r>
              <w:t xml:space="preserve">sets</w:t>
            </w:r>
          </w:p>
        </w:tc>
        <w:tc>
          <w:tcPr/>
          <w:p>
            <w:pPr>
              <w:pStyle w:val="Compact"/>
              <w:jc w:val="left"/>
            </w:pPr>
            <w:r>
              <w:t xml:space="preserve">35</w:t>
            </w:r>
          </w:p>
        </w:tc>
        <w:tc>
          <w:tcPr/>
          <w:p>
            <w:pPr>
              <w:pStyle w:val="Compact"/>
              <w:jc w:val="left"/>
            </w:pPr>
            <w:r>
              <w:t xml:space="preserve">1,450.00</w:t>
            </w:r>
          </w:p>
        </w:tc>
        <w:tc>
          <w:tcPr/>
          <w:p>
            <w:pPr>
              <w:pStyle w:val="Compact"/>
              <w:jc w:val="left"/>
            </w:pPr>
            <w:r>
              <w:t xml:space="preserve">50,750.00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238,945.00 EUR</w:t>
            </w:r>
          </w:p>
        </w:tc>
      </w:tr>
      <w:tr>
        <w:tc>
          <w:tcPr/>
          <w:p>
            <w:pPr>
              <w:pStyle w:val="Compact"/>
              <w:jc w:val="left"/>
            </w:pPr>
            <w:r>
              <w:t xml:space="preserve">VAT (22% — Italy Milan Region)</w:t>
            </w:r>
          </w:p>
        </w:tc>
        <w:tc>
          <w:tcPr/>
          <w:p>
            <w:pPr>
              <w:pStyle w:val="Compact"/>
              <w:jc w:val="right"/>
            </w:pPr>
            <w:r>
              <w:t xml:space="preserve">52,567.90 EUR</w:t>
            </w:r>
          </w:p>
        </w:tc>
      </w:tr>
      <w:tr>
        <w:tc>
          <w:tcPr/>
          <w:p>
            <w:pPr>
              <w:pStyle w:val="Compact"/>
              <w:jc w:val="left"/>
            </w:pPr>
            <w:r>
              <w:t xml:space="preserve">Delivery &amp; Handling (Milan Metro Area)</w:t>
            </w:r>
          </w:p>
        </w:tc>
        <w:tc>
          <w:tcPr/>
          <w:p>
            <w:pPr>
              <w:pStyle w:val="Compact"/>
              <w:jc w:val="right"/>
            </w:pPr>
            <w:r>
              <w:t xml:space="preserve">3,450.00 EUR</w:t>
            </w:r>
          </w:p>
        </w:tc>
      </w:tr>
      <w:tr>
        <w:tc>
          <w:tcPr/>
          <w:p>
            <w:pPr>
              <w:pStyle w:val="Compact"/>
              <w:jc w:val="left"/>
            </w:pPr>
            <w:r>
              <w:t xml:space="preserve">Grand Total</w:t>
            </w:r>
          </w:p>
        </w:tc>
        <w:tc>
          <w:tcPr/>
          <w:p>
            <w:pPr>
              <w:pStyle w:val="Compact"/>
              <w:jc w:val="right"/>
            </w:pPr>
            <w:r>
              <w:t xml:space="preserve">294,962.90 EUR</w:t>
            </w:r>
          </w:p>
        </w:tc>
      </w:tr>
    </w:tbl>
    <w:bookmarkStart w:id="23" w:name="X4c214e7c3c228a2870764f376f77d167fb3f527"/>
    <w:p>
      <w:pPr>
        <w:pStyle w:val="Heading3"/>
      </w:pPr>
      <w:r>
        <w:t xml:space="preserve">Terms &amp; Conditions — Mason S.r.l. Purchase Order (Italy Milan)</w:t>
      </w:r>
    </w:p>
    <w:p>
      <w:pPr>
        <w:numPr>
          <w:ilvl w:val="0"/>
          <w:numId w:val="1001"/>
        </w:numPr>
        <w:pStyle w:val="Compact"/>
      </w:pPr>
      <w:r>
        <w:rPr>
          <w:bCs/>
          <w:b/>
        </w:rPr>
        <w:t xml:space="preserve">Delivery:</w:t>
      </w:r>
      <w:r>
        <w:t xml:space="preserve"> </w:t>
      </w:r>
      <w:r>
        <w:t xml:space="preserve">All goods listed in this Purchase Order shall be delivered to the Mason S.r.l. construction site located at Via Torino 142, 20129 Milan, Italy. The supplier is responsible for all transportation, loading, and unloading within the Italy Milan metropolitan zone. Delivery must be completed no later than 05 July 2025, between the hours of 07:00 and 17:00 CET, in accordance with local Milan municipal regulations regarding heavy vehicle access.</w:t>
      </w:r>
    </w:p>
    <w:p>
      <w:pPr>
        <w:numPr>
          <w:ilvl w:val="0"/>
          <w:numId w:val="1001"/>
        </w:numPr>
        <w:pStyle w:val="Compact"/>
      </w:pPr>
      <w:r>
        <w:rPr>
          <w:bCs/>
          <w:b/>
        </w:rPr>
        <w:t xml:space="preserve">Payment Terms:</w:t>
      </w:r>
      <w:r>
        <w:t xml:space="preserve"> </w:t>
      </w:r>
      <w:r>
        <w:t xml:space="preserve">Payment shall be made by bank transfer (IBAN: IT60 X054 2811 1000 0000 0123 456) within 60 days from the date of invoice issuance. Mason S.r.l. reserves the right to withhold 10% of the total Purchase Order value as a retention until final acceptance of all materials at the Italy Milan site.</w:t>
      </w:r>
    </w:p>
    <w:p>
      <w:pPr>
        <w:numPr>
          <w:ilvl w:val="0"/>
          <w:numId w:val="1001"/>
        </w:numPr>
        <w:pStyle w:val="Compact"/>
      </w:pPr>
      <w:r>
        <w:rPr>
          <w:bCs/>
          <w:b/>
        </w:rPr>
        <w:t xml:space="preserve">Quality Assurance:</w:t>
      </w:r>
      <w:r>
        <w:t xml:space="preserve"> </w:t>
      </w:r>
      <w:r>
        <w:t xml:space="preserve">All masonry blocks, cement, aggregates, and steel products must comply with the applicable European Norms (EN) and Italian national standards (UNI). The supplier shall provide mill certificates, batch test reports, and conformity declarations with each delivery. Mason S.r.l. quality inspectors stationed in Milan will conduct incoming inspections prior to acceptance.</w:t>
      </w:r>
    </w:p>
    <w:p>
      <w:pPr>
        <w:numPr>
          <w:ilvl w:val="0"/>
          <w:numId w:val="1001"/>
        </w:numPr>
        <w:pStyle w:val="Compact"/>
      </w:pPr>
      <w:r>
        <w:rPr>
          <w:bCs/>
          <w:b/>
        </w:rPr>
        <w:t xml:space="preserve">Warranty:</w:t>
      </w:r>
      <w:r>
        <w:t xml:space="preserve"> </w:t>
      </w:r>
      <w:r>
        <w:t xml:space="preserve">The supplier warrants that all materials supplied under this Purchase Order are new, free from defects, and fit for structural masonry construction purposes. A minimum warranty period of 24 months applies from the date of delivery at the Italy Milan project site.</w:t>
      </w:r>
    </w:p>
    <w:p>
      <w:pPr>
        <w:numPr>
          <w:ilvl w:val="0"/>
          <w:numId w:val="1001"/>
        </w:numPr>
        <w:pStyle w:val="Compact"/>
      </w:pPr>
      <w:r>
        <w:rPr>
          <w:bCs/>
          <w:b/>
        </w:rPr>
        <w:t xml:space="preserve">Penalties for Late Delivery:</w:t>
      </w:r>
      <w:r>
        <w:t xml:space="preserve"> </w:t>
      </w:r>
      <w:r>
        <w:t xml:space="preserve">In the event of delayed delivery beyond the stipulated date, the supplier shall pay a penalty of 0.5% of the total Purchase Order value per calendar day of delay, up to a maximum of 10%. Mason S.r.l. reserves the right to cancel this Purchase Order and source alternative materials if delivery is delayed by more than 14 days.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the Milan region, or supply chain disruptions. Affected parties must notify Mason S.r.l. in writing within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document shall be subject to the exclusive jurisdiction of the courts of Milan, Italy.</w:t>
      </w:r>
    </w:p>
    <w:p>
      <w:pPr>
        <w:numPr>
          <w:ilvl w:val="0"/>
          <w:numId w:val="1001"/>
        </w:numPr>
        <w:pStyle w:val="Compact"/>
      </w:pPr>
      <w:r>
        <w:rPr>
          <w:bCs/>
          <w:b/>
        </w:rPr>
        <w:t xml:space="preserve">Environmental Compliance:</w:t>
      </w:r>
      <w:r>
        <w:t xml:space="preserve"> </w:t>
      </w:r>
      <w:r>
        <w:t xml:space="preserve">All materials must meet the environmental standards set forth by the Lombardy Regional Authority. The supplier shall ensure proper waste packaging management in compliance with Italy Milan municipal waste disposal regulations.</w:t>
      </w:r>
    </w:p>
    <w:bookmarkEnd w:id="23"/>
    <w:p>
      <w:pPr>
        <w:pStyle w:val="FirstParagraph"/>
      </w:pPr>
      <w:r>
        <w:rPr>
          <w:bCs/>
          <w:b/>
        </w:rPr>
        <w:t xml:space="preserve">Authorized by — Mason S.r.l. (Buyer)</w:t>
      </w:r>
    </w:p>
    <w:p>
      <w:pPr>
        <w:pStyle w:val="BodyText"/>
      </w:pPr>
      <w:r>
        <w:t xml:space="preserve">Name: Ing. Marco Bellini</w:t>
      </w:r>
    </w:p>
    <w:p>
      <w:pPr>
        <w:pStyle w:val="BodyText"/>
      </w:pPr>
      <w:r>
        <w:t xml:space="preserve">Title: Head of Procurement</w:t>
      </w:r>
    </w:p>
    <w:p>
      <w:pPr>
        <w:pStyle w:val="BodyText"/>
      </w:pPr>
      <w:r>
        <w:t xml:space="preserve">Date: ____________________</w:t>
      </w:r>
    </w:p>
    <w:p>
      <w:pPr>
        <w:pStyle w:val="BodyText"/>
      </w:pPr>
      <w:r>
        <w:rPr>
          <w:bCs/>
          <w:b/>
        </w:rPr>
        <w:t xml:space="preserve">Accepted by — EdilCostruzioni Lombardi S.p.A. (Supplier)</w:t>
      </w:r>
    </w:p>
    <w:p>
      <w:pPr>
        <w:pStyle w:val="BodyText"/>
      </w:pPr>
      <w:r>
        <w:t xml:space="preserve">Name: Dott.ssa Laura Fontana</w:t>
      </w:r>
    </w:p>
    <w:p>
      <w:pPr>
        <w:pStyle w:val="BodyText"/>
      </w:pPr>
      <w:r>
        <w:t xml:space="preserve">Title: Sales Director</w:t>
      </w:r>
    </w:p>
    <w:p>
      <w:pPr>
        <w:pStyle w:val="BodyText"/>
      </w:pPr>
      <w:r>
        <w:t xml:space="preserve">Date: ____________________</w:t>
      </w:r>
    </w:p>
    <w:p>
      <w:pPr>
        <w:pStyle w:val="BodyText"/>
      </w:pPr>
      <w:r>
        <w:t xml:space="preserve">This Purchase Order (PO-2025-ITM-0472) is issued by Mason S.r.l., Milan, Italy, and constitutes a binding procurement document for the Italy Milan Tower — Phase II construction project. All references to "Mason" herein refer to Mason S.r.l. as the contracting buyer. This document is valid for 30 days from the date of issue. Unauthorized reproduction or modification of this Purchase Order is strictly prohibited.</w:t>
      </w:r>
    </w:p>
    <w:p>
      <w:pPr>
        <w:pStyle w:val="BodyText"/>
      </w:pPr>
      <w:r>
        <w:t xml:space="preserve">© 2025 Mason S.r.l. — Via Torino 142, 20129 Milan, Italy — P.IVA IT09876543210 — REA MI-2845671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S.r.l. - Italy Milan</dc:title>
  <dc:creator/>
  <dc:language>en</dc:language>
  <cp:keywords/>
  <dcterms:created xsi:type="dcterms:W3CDTF">2026-10-10T09:10:47Z</dcterms:created>
  <dcterms:modified xsi:type="dcterms:W3CDTF">2026-10-10T09:10:47Z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