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Mason</w:t>
      </w:r>
      <w:r>
        <w:t xml:space="preserve"> </w:t>
      </w:r>
      <w:r>
        <w:t xml:space="preserve">-</w:t>
      </w:r>
      <w:r>
        <w:t xml:space="preserve"> </w:t>
      </w:r>
      <w:r>
        <w:t xml:space="preserve">Italy</w:t>
      </w:r>
      <w:r>
        <w:t xml:space="preserve"> </w:t>
      </w:r>
      <w:r>
        <w:t xml:space="preserve">Rome</w:t>
      </w:r>
    </w:p>
    <w:bookmarkStart w:id="20" w:name="purchase-order"/>
    <w:p>
      <w:pPr>
        <w:pStyle w:val="Heading1"/>
      </w:pPr>
      <w:r>
        <w:t xml:space="preserve">PURCHASE ORDER</w:t>
      </w:r>
    </w:p>
    <w:p>
      <w:pPr>
        <w:pStyle w:val="FirstParagraph"/>
      </w:pPr>
      <w:r>
        <w:t xml:space="preserve">Official Procurement Document — Mason Construction &amp; Stoneworks S.r.l.</w:t>
      </w:r>
    </w:p>
    <w:p>
      <w:pPr>
        <w:pStyle w:val="BodyText"/>
      </w:pPr>
      <w:r>
        <w:t xml:space="preserve">Rome, Italy — Capitale della Repubblica Italiana</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Purchase Order No.</w:t>
            </w:r>
          </w:p>
        </w:tc>
        <w:tc>
          <w:tcPr/>
          <w:p>
            <w:pPr>
              <w:pStyle w:val="Compact"/>
              <w:jc w:val="left"/>
            </w:pPr>
            <w:r>
              <w:t xml:space="preserve">PO-IT-RM-2025-04871</w:t>
            </w:r>
          </w:p>
        </w:tc>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Vendor / Supplier</w:t>
            </w:r>
          </w:p>
        </w:tc>
        <w:tc>
          <w:tcPr/>
          <w:p>
            <w:pPr>
              <w:pStyle w:val="Compact"/>
              <w:jc w:val="left"/>
            </w:pPr>
            <w:r>
              <w:t xml:space="preserve">Mason &amp; Partners S.r.l. — Via Appia Antica, 217, 00179 Roma (RM), Italy</w:t>
            </w:r>
          </w:p>
        </w:tc>
        <w:tc>
          <w:tcPr/>
          <w:p>
            <w:pPr>
              <w:pStyle w:val="Compact"/>
              <w:jc w:val="left"/>
            </w:pPr>
            <w:r>
              <w:t xml:space="preserve">Vendor VAT (P.IVA)</w:t>
            </w:r>
          </w:p>
        </w:tc>
        <w:tc>
          <w:tcPr/>
          <w:p>
            <w:pPr>
              <w:pStyle w:val="Compact"/>
              <w:jc w:val="left"/>
            </w:pPr>
            <w:r>
              <w:t xml:space="preserve">IT08472910083</w:t>
            </w:r>
          </w:p>
        </w:tc>
      </w:tr>
      <w:tr>
        <w:tc>
          <w:tcPr/>
          <w:p>
            <w:pPr>
              <w:pStyle w:val="Compact"/>
              <w:jc w:val="left"/>
            </w:pPr>
            <w:r>
              <w:t xml:space="preserve">Purchasing Entity</w:t>
            </w:r>
          </w:p>
        </w:tc>
        <w:tc>
          <w:tcPr/>
          <w:p>
            <w:pPr>
              <w:pStyle w:val="Compact"/>
              <w:jc w:val="left"/>
            </w:pPr>
            <w:r>
              <w:t xml:space="preserve">Studio Architettonico Rossi &amp; Associati — Piazza Navona, 42, 00186 Roma (RM), Italy</w:t>
            </w:r>
          </w:p>
        </w:tc>
        <w:tc>
          <w:tcPr/>
          <w:p>
            <w:pPr>
              <w:pStyle w:val="Compact"/>
              <w:jc w:val="left"/>
            </w:pPr>
            <w:r>
              <w:t xml:space="preserve">Purchaser VAT (P.IVA)</w:t>
            </w:r>
          </w:p>
        </w:tc>
        <w:tc>
          <w:tcPr/>
          <w:p>
            <w:pPr>
              <w:pStyle w:val="Compact"/>
              <w:jc w:val="left"/>
            </w:pPr>
            <w:r>
              <w:t xml:space="preserve">IT06215480087</w:t>
            </w:r>
          </w:p>
        </w:tc>
      </w:tr>
      <w:tr>
        <w:tc>
          <w:tcPr/>
          <w:p>
            <w:pPr>
              <w:pStyle w:val="Compact"/>
              <w:jc w:val="left"/>
            </w:pPr>
            <w:r>
              <w:t xml:space="preserve">Project Reference</w:t>
            </w:r>
          </w:p>
        </w:tc>
        <w:tc>
          <w:tcPr/>
          <w:p>
            <w:pPr>
              <w:pStyle w:val="Compact"/>
              <w:jc w:val="left"/>
            </w:pPr>
            <w:r>
              <w:t xml:space="preserve">Restoration of Historic Masonry Facade — Palazzo Barberini Annex, Rome, Italy</w:t>
            </w:r>
          </w:p>
        </w:tc>
        <w:tc>
          <w:tcPr/>
          <w:p>
            <w:pPr>
              <w:pStyle w:val="Compact"/>
              <w:jc w:val="left"/>
            </w:pPr>
            <w:r>
              <w:t xml:space="preserve">Delivery Location</w:t>
            </w:r>
          </w:p>
        </w:tc>
        <w:tc>
          <w:tcPr/>
          <w:p>
            <w:pPr>
              <w:pStyle w:val="Compact"/>
              <w:jc w:val="left"/>
            </w:pPr>
            <w:r>
              <w:t xml:space="preserve">Site Office, Via delle Muratte, 15, 00186 Roma (RM), Italy</w:t>
            </w:r>
          </w:p>
        </w:tc>
      </w:tr>
      <w:tr>
        <w:tc>
          <w:tcPr/>
          <w:p>
            <w:pPr>
              <w:pStyle w:val="Compact"/>
              <w:jc w:val="left"/>
            </w:pPr>
            <w:r>
              <w:t xml:space="preserve">Currency</w:t>
            </w:r>
          </w:p>
        </w:tc>
        <w:tc>
          <w:tcPr/>
          <w:p>
            <w:pPr>
              <w:pStyle w:val="Compact"/>
              <w:jc w:val="left"/>
            </w:pPr>
            <w:r>
              <w:t xml:space="preserve">Euro (EUR) — ISO 4217</w:t>
            </w:r>
          </w:p>
        </w:tc>
        <w:tc>
          <w:tcPr/>
          <w:p>
            <w:pPr>
              <w:pStyle w:val="Compact"/>
              <w:jc w:val="left"/>
            </w:pPr>
            <w:r>
              <w:t xml:space="preserve">Payment Terms</w:t>
            </w:r>
          </w:p>
        </w:tc>
        <w:tc>
          <w:tcPr/>
          <w:p>
            <w:pPr>
              <w:pStyle w:val="Compact"/>
              <w:jc w:val="left"/>
            </w:pPr>
            <w:r>
              <w:t xml:space="preserve">Net 30 days from invoice date, wire transfer to IBAN IT60X0542811101000000123456</w:t>
            </w:r>
          </w:p>
        </w:tc>
      </w:tr>
    </w:tbl>
    <w:bookmarkStart w:id="21" w:name="scope-of-purchase-order"/>
    <w:p>
      <w:pPr>
        <w:pStyle w:val="Heading2"/>
      </w:pPr>
      <w:r>
        <w:t xml:space="preserve">1. Scope of Purchase Order</w:t>
      </w:r>
    </w:p>
    <w:p>
      <w:pPr>
        <w:pStyle w:val="FirstParagraph"/>
      </w:pPr>
      <w:r>
        <w:t xml:space="preserve">This Purchase Order is issued by Studio Architettonico Rossi &amp; Associati, a registered architectural firm operating in Rome, Italy, to Mason &amp; Partners S.r.l., a licensed masonry and stoneworks contractor based in the city of Rome, Italy. This Purchase Order authorizes Mason to supply all masonry materials, specialized tools, and on-site mason labor services required for the restoration and structural reinforcement of the historic masonry facade of the Palazzo Barberini Annex, located in the historic center of Rome, Italy. The scope of this Purchase Order encompasses the procurement of natural travertine blocks, Roman brick (laterizio romano), lime-based mortar compounds, iron reinforcement anchors, and the deployment of a qualified team of masons for a period of fourteen (14) consecutive working weeks commencing on 1 July 2025.</w:t>
      </w:r>
    </w:p>
    <w:bookmarkEnd w:id="21"/>
    <w:bookmarkStart w:id="22" w:name="line-items-materials-services-and-labor"/>
    <w:p>
      <w:pPr>
        <w:pStyle w:val="Heading2"/>
      </w:pPr>
      <w:r>
        <w:t xml:space="preserve">2. Line Items — Materials, Services, and Labor</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Line Total (EUR)</w:t>
            </w:r>
          </w:p>
        </w:tc>
      </w:tr>
      <w:tr>
        <w:tc>
          <w:tcPr/>
          <w:p>
            <w:pPr>
              <w:pStyle w:val="Compact"/>
              <w:jc w:val="left"/>
            </w:pPr>
            <w:r>
              <w:t xml:space="preserve">01</w:t>
            </w:r>
          </w:p>
        </w:tc>
        <w:tc>
          <w:tcPr/>
          <w:p>
            <w:pPr>
              <w:pStyle w:val="Compact"/>
              <w:jc w:val="left"/>
            </w:pPr>
            <w:r>
              <w:t xml:space="preserve">Natural Tivoli Travertine blocks, honed finish, 400×200×150 mm, sourced from quarries in Lazio, Italy</w:t>
            </w:r>
          </w:p>
        </w:tc>
        <w:tc>
          <w:tcPr/>
          <w:p>
            <w:pPr>
              <w:pStyle w:val="Compact"/>
              <w:jc w:val="left"/>
            </w:pPr>
            <w:r>
              <w:t xml:space="preserve">1,250</w:t>
            </w:r>
          </w:p>
        </w:tc>
        <w:tc>
          <w:tcPr/>
          <w:p>
            <w:pPr>
              <w:pStyle w:val="Compact"/>
              <w:jc w:val="left"/>
            </w:pPr>
            <w:r>
              <w:t xml:space="preserve">pcs</w:t>
            </w:r>
          </w:p>
        </w:tc>
        <w:tc>
          <w:tcPr/>
          <w:p>
            <w:pPr>
              <w:pStyle w:val="Compact"/>
              <w:jc w:val="left"/>
            </w:pPr>
            <w:r>
              <w:t xml:space="preserve">18.50</w:t>
            </w:r>
          </w:p>
        </w:tc>
        <w:tc>
          <w:tcPr/>
          <w:p>
            <w:pPr>
              <w:pStyle w:val="Compact"/>
              <w:jc w:val="left"/>
            </w:pPr>
            <w:r>
              <w:t xml:space="preserve">23,125.00</w:t>
            </w:r>
          </w:p>
        </w:tc>
      </w:tr>
      <w:tr>
        <w:tc>
          <w:tcPr/>
          <w:p>
            <w:pPr>
              <w:pStyle w:val="Compact"/>
              <w:jc w:val="left"/>
            </w:pPr>
            <w:r>
              <w:t xml:space="preserve">02</w:t>
            </w:r>
          </w:p>
        </w:tc>
        <w:tc>
          <w:tcPr/>
          <w:p>
            <w:pPr>
              <w:pStyle w:val="Compact"/>
              <w:jc w:val="left"/>
            </w:pPr>
            <w:r>
              <w:t xml:space="preserve">Traditional Roman brick (laterizio romano), fired clay, 240×115×53 mm, for infill masonry</w:t>
            </w:r>
          </w:p>
        </w:tc>
        <w:tc>
          <w:tcPr/>
          <w:p>
            <w:pPr>
              <w:pStyle w:val="Compact"/>
              <w:jc w:val="left"/>
            </w:pPr>
            <w:r>
              <w:t xml:space="preserve">8,400</w:t>
            </w:r>
          </w:p>
        </w:tc>
        <w:tc>
          <w:tcPr/>
          <w:p>
            <w:pPr>
              <w:pStyle w:val="Compact"/>
              <w:jc w:val="left"/>
            </w:pPr>
            <w:r>
              <w:t xml:space="preserve">pcs</w:t>
            </w:r>
          </w:p>
        </w:tc>
        <w:tc>
          <w:tcPr/>
          <w:p>
            <w:pPr>
              <w:pStyle w:val="Compact"/>
              <w:jc w:val="left"/>
            </w:pPr>
            <w:r>
              <w:t xml:space="preserve">1.85</w:t>
            </w:r>
          </w:p>
        </w:tc>
        <w:tc>
          <w:tcPr/>
          <w:p>
            <w:pPr>
              <w:pStyle w:val="Compact"/>
              <w:jc w:val="left"/>
            </w:pPr>
            <w:r>
              <w:t xml:space="preserve">15,540.00</w:t>
            </w:r>
          </w:p>
        </w:tc>
      </w:tr>
      <w:tr>
        <w:tc>
          <w:tcPr/>
          <w:p>
            <w:pPr>
              <w:pStyle w:val="Compact"/>
              <w:jc w:val="left"/>
            </w:pPr>
            <w:r>
              <w:t xml:space="preserve">03</w:t>
            </w:r>
          </w:p>
        </w:tc>
        <w:tc>
          <w:tcPr/>
          <w:p>
            <w:pPr>
              <w:pStyle w:val="Compact"/>
              <w:jc w:val="left"/>
            </w:pPr>
            <w:r>
              <w:t xml:space="preserve">Natural hydraulic lime mortar (NHL 3.5), pre-mixed, 25 kg bags, compliant with UNI EN 459</w:t>
            </w:r>
          </w:p>
        </w:tc>
        <w:tc>
          <w:tcPr/>
          <w:p>
            <w:pPr>
              <w:pStyle w:val="Compact"/>
              <w:jc w:val="left"/>
            </w:pPr>
            <w:r>
              <w:t xml:space="preserve">320</w:t>
            </w:r>
          </w:p>
        </w:tc>
        <w:tc>
          <w:tcPr/>
          <w:p>
            <w:pPr>
              <w:pStyle w:val="Compact"/>
              <w:jc w:val="left"/>
            </w:pPr>
            <w:r>
              <w:t xml:space="preserve">bags</w:t>
            </w:r>
          </w:p>
        </w:tc>
        <w:tc>
          <w:tcPr/>
          <w:p>
            <w:pPr>
              <w:pStyle w:val="Compact"/>
              <w:jc w:val="left"/>
            </w:pPr>
            <w:r>
              <w:t xml:space="preserve">14.20</w:t>
            </w:r>
          </w:p>
        </w:tc>
        <w:tc>
          <w:tcPr/>
          <w:p>
            <w:pPr>
              <w:pStyle w:val="Compact"/>
              <w:jc w:val="left"/>
            </w:pPr>
            <w:r>
              <w:t xml:space="preserve">4,544.00</w:t>
            </w:r>
          </w:p>
        </w:tc>
      </w:tr>
      <w:tr>
        <w:tc>
          <w:tcPr/>
          <w:p>
            <w:pPr>
              <w:pStyle w:val="Compact"/>
              <w:jc w:val="left"/>
            </w:pPr>
            <w:r>
              <w:t xml:space="preserve">04</w:t>
            </w:r>
          </w:p>
        </w:tc>
        <w:tc>
          <w:tcPr/>
          <w:p>
            <w:pPr>
              <w:pStyle w:val="Compact"/>
              <w:jc w:val="left"/>
            </w:pPr>
            <w:r>
              <w:t xml:space="preserve">Stainless steel A4 masonry anchors and expansion bolts, 12 mm diameter, for facade reinforcement</w:t>
            </w:r>
          </w:p>
        </w:tc>
        <w:tc>
          <w:tcPr/>
          <w:p>
            <w:pPr>
              <w:pStyle w:val="Compact"/>
              <w:jc w:val="left"/>
            </w:pPr>
            <w:r>
              <w:t xml:space="preserve">2,100</w:t>
            </w:r>
          </w:p>
        </w:tc>
        <w:tc>
          <w:tcPr/>
          <w:p>
            <w:pPr>
              <w:pStyle w:val="Compact"/>
              <w:jc w:val="left"/>
            </w:pPr>
            <w:r>
              <w:t xml:space="preserve">pcs</w:t>
            </w:r>
          </w:p>
        </w:tc>
        <w:tc>
          <w:tcPr/>
          <w:p>
            <w:pPr>
              <w:pStyle w:val="Compact"/>
              <w:jc w:val="left"/>
            </w:pPr>
            <w:r>
              <w:t xml:space="preserve">3.75</w:t>
            </w:r>
          </w:p>
        </w:tc>
        <w:tc>
          <w:tcPr/>
          <w:p>
            <w:pPr>
              <w:pStyle w:val="Compact"/>
              <w:jc w:val="left"/>
            </w:pPr>
            <w:r>
              <w:t xml:space="preserve">7,875.00</w:t>
            </w:r>
          </w:p>
        </w:tc>
      </w:tr>
      <w:tr>
        <w:tc>
          <w:tcPr/>
          <w:p>
            <w:pPr>
              <w:pStyle w:val="Compact"/>
              <w:jc w:val="left"/>
            </w:pPr>
            <w:r>
              <w:t xml:space="preserve">05</w:t>
            </w:r>
          </w:p>
        </w:tc>
        <w:tc>
          <w:tcPr/>
          <w:p>
            <w:pPr>
              <w:pStyle w:val="Compact"/>
              <w:jc w:val="left"/>
            </w:pPr>
            <w:r>
              <w:t xml:space="preserve">Specialized mason tools kit (chisels, trowels, gauges, scaffolding access equipment) — rental for 14 weeks</w:t>
            </w:r>
          </w:p>
        </w:tc>
        <w:tc>
          <w:tcPr/>
          <w:p>
            <w:pPr>
              <w:pStyle w:val="Compact"/>
              <w:jc w:val="left"/>
            </w:pPr>
            <w:r>
              <w:t xml:space="preserve">1</w:t>
            </w:r>
          </w:p>
        </w:tc>
        <w:tc>
          <w:tcPr/>
          <w:p>
            <w:pPr>
              <w:pStyle w:val="Compact"/>
              <w:jc w:val="left"/>
            </w:pPr>
            <w:r>
              <w:t xml:space="preserve">set</w:t>
            </w:r>
          </w:p>
        </w:tc>
        <w:tc>
          <w:tcPr/>
          <w:p>
            <w:pPr>
              <w:pStyle w:val="Compact"/>
              <w:jc w:val="left"/>
            </w:pPr>
            <w:r>
              <w:t xml:space="preserve">6,200.00</w:t>
            </w:r>
          </w:p>
        </w:tc>
        <w:tc>
          <w:tcPr/>
          <w:p>
            <w:pPr>
              <w:pStyle w:val="Compact"/>
              <w:jc w:val="left"/>
            </w:pPr>
            <w:r>
              <w:t xml:space="preserve">6,200.00</w:t>
            </w:r>
          </w:p>
        </w:tc>
      </w:tr>
      <w:tr>
        <w:tc>
          <w:tcPr/>
          <w:p>
            <w:pPr>
              <w:pStyle w:val="Compact"/>
              <w:jc w:val="left"/>
            </w:pPr>
            <w:r>
              <w:t xml:space="preserve">06</w:t>
            </w:r>
          </w:p>
        </w:tc>
        <w:tc>
          <w:tcPr/>
          <w:p>
            <w:pPr>
              <w:pStyle w:val="Compact"/>
              <w:jc w:val="left"/>
            </w:pPr>
            <w:r>
              <w:t xml:space="preserve">Qualified mason labor — 6 masons (including 1 master mason / capomastro), 14 weeks, 40 hrs/week, Rome, Italy</w:t>
            </w:r>
          </w:p>
        </w:tc>
        <w:tc>
          <w:tcPr/>
          <w:p>
            <w:pPr>
              <w:pStyle w:val="Compact"/>
              <w:jc w:val="left"/>
            </w:pPr>
            <w:r>
              <w:t xml:space="preserve">3,360</w:t>
            </w:r>
          </w:p>
        </w:tc>
        <w:tc>
          <w:tcPr/>
          <w:p>
            <w:pPr>
              <w:pStyle w:val="Compact"/>
              <w:jc w:val="left"/>
            </w:pPr>
            <w:r>
              <w:t xml:space="preserve">hrs</w:t>
            </w:r>
          </w:p>
        </w:tc>
        <w:tc>
          <w:tcPr/>
          <w:p>
            <w:pPr>
              <w:pStyle w:val="Compact"/>
              <w:jc w:val="left"/>
            </w:pPr>
            <w:r>
              <w:t xml:space="preserve">32.00</w:t>
            </w:r>
          </w:p>
        </w:tc>
        <w:tc>
          <w:tcPr/>
          <w:p>
            <w:pPr>
              <w:pStyle w:val="Compact"/>
              <w:jc w:val="left"/>
            </w:pPr>
            <w:r>
              <w:t xml:space="preserve">107,520.00</w:t>
            </w:r>
          </w:p>
        </w:tc>
      </w:tr>
      <w:tr>
        <w:tc>
          <w:tcPr/>
          <w:p>
            <w:pPr>
              <w:pStyle w:val="Compact"/>
              <w:jc w:val="left"/>
            </w:pPr>
            <w:r>
              <w:t xml:space="preserve">07</w:t>
            </w:r>
          </w:p>
        </w:tc>
        <w:tc>
          <w:tcPr/>
          <w:p>
            <w:pPr>
              <w:pStyle w:val="Compact"/>
              <w:jc w:val="left"/>
            </w:pPr>
            <w:r>
              <w:t xml:space="preserve">Scaffolding erection, maintenance, and dismantling — full facade perimeter, Rome, Italy</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12,800.00</w:t>
            </w:r>
          </w:p>
        </w:tc>
        <w:tc>
          <w:tcPr/>
          <w:p>
            <w:pPr>
              <w:pStyle w:val="Compact"/>
              <w:jc w:val="left"/>
            </w:pPr>
            <w:r>
              <w:t xml:space="preserve">12,800.00</w:t>
            </w:r>
          </w:p>
        </w:tc>
      </w:tr>
      <w:tr>
        <w:tc>
          <w:tcPr/>
          <w:p>
            <w:pPr>
              <w:pStyle w:val="Compact"/>
              <w:jc w:val="left"/>
            </w:pPr>
            <w:r>
              <w:t xml:space="preserve">08</w:t>
            </w:r>
          </w:p>
        </w:tc>
        <w:tc>
          <w:tcPr/>
          <w:p>
            <w:pPr>
              <w:pStyle w:val="Compact"/>
              <w:jc w:val="left"/>
            </w:pPr>
            <w:r>
              <w:t xml:space="preserve">Waste removal and site cleanup, compliant with Roma Capitale municipal regulations (Delibera Giunta n. 412/2024)</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3,450.00</w:t>
            </w:r>
          </w:p>
        </w:tc>
        <w:tc>
          <w:tcPr/>
          <w:p>
            <w:pPr>
              <w:pStyle w:val="Compact"/>
              <w:jc w:val="left"/>
            </w:pPr>
            <w:r>
              <w:t xml:space="preserve">3,450.00</w:t>
            </w:r>
          </w:p>
        </w:tc>
      </w:tr>
    </w:tbl>
    <w:p>
      <w:pPr>
        <w:pStyle w:val="BodyText"/>
      </w:pPr>
      <w:r>
        <w:t xml:space="preserve">Subtotal: € 179,054.00</w:t>
      </w:r>
    </w:p>
    <w:p>
      <w:pPr>
        <w:pStyle w:val="BodyText"/>
      </w:pPr>
      <w:r>
        <w:t xml:space="preserve">VAT (IVA) 22% (Italian standard rate, D.Lgs. 1/1992): € 39,391.88</w:t>
      </w:r>
    </w:p>
    <w:p>
      <w:pPr>
        <w:pStyle w:val="BodyText"/>
      </w:pPr>
      <w:r>
        <w:t xml:space="preserve">Grand Total: € 218,445.88</w:t>
      </w:r>
    </w:p>
    <w:bookmarkEnd w:id="22"/>
    <w:bookmarkStart w:id="23" w:name="terms-and-conditions"/>
    <w:p>
      <w:pPr>
        <w:pStyle w:val="Heading2"/>
      </w:pPr>
      <w:r>
        <w:t xml:space="preserve">3. Terms and Conditions</w:t>
      </w:r>
    </w:p>
    <w:p>
      <w:pPr>
        <w:numPr>
          <w:ilvl w:val="0"/>
          <w:numId w:val="1001"/>
        </w:numPr>
        <w:pStyle w:val="Compact"/>
      </w:pPr>
      <w:r>
        <w:rPr>
          <w:bCs/>
          <w:b/>
        </w:rPr>
        <w:t xml:space="preserve">Applicable Law:</w:t>
      </w:r>
      <w:r>
        <w:t xml:space="preserve"> </w:t>
      </w:r>
      <w:r>
        <w:t xml:space="preserve">This Purchase Order is governed by and shall be interpreted in accordance with the Italian Civil Code (Codice Civile, Libro V — D.Lgs. 16 marzo 1942, n. 266) and all applicable regional and municipal regulations of the Lazio region and the Comune di Roma, Italy.</w:t>
      </w:r>
    </w:p>
    <w:p>
      <w:pPr>
        <w:numPr>
          <w:ilvl w:val="0"/>
          <w:numId w:val="1001"/>
        </w:numPr>
        <w:pStyle w:val="Compact"/>
      </w:pPr>
      <w:r>
        <w:rPr>
          <w:bCs/>
          <w:b/>
        </w:rPr>
        <w:t xml:space="preserve">Delivery and Site Access:</w:t>
      </w:r>
      <w:r>
        <w:t xml:space="preserve"> </w:t>
      </w:r>
      <w:r>
        <w:t xml:space="preserve">All materials shall be delivered to the project site in Rome, Italy, no later than 30 June 2025. Mason &amp; Partners S.r.l. is responsible for obtaining all necessary permits for vehicle access and material storage within the ZTL (Zona a Traffico Limitato) of central Rome, Italy, as mandated by Roma Capitale traffic authority.</w:t>
      </w:r>
    </w:p>
    <w:p>
      <w:pPr>
        <w:numPr>
          <w:ilvl w:val="0"/>
          <w:numId w:val="1001"/>
        </w:numPr>
        <w:pStyle w:val="Compact"/>
      </w:pPr>
      <w:r>
        <w:rPr>
          <w:bCs/>
          <w:b/>
        </w:rPr>
        <w:t xml:space="preserve">Quality Standards:</w:t>
      </w:r>
      <w:r>
        <w:t xml:space="preserve"> </w:t>
      </w:r>
      <w:r>
        <w:t xml:space="preserve">All masonry materials must comply with Italian national standards (UNI) and European standards (EN) as referenced in the Technical Specification attached to this Purchase Order. The master mason (capomastro) assigned by Mason must hold a valid qualification recognized by the Camera di Commercio di Roma, Italy.</w:t>
      </w:r>
    </w:p>
    <w:p>
      <w:pPr>
        <w:numPr>
          <w:ilvl w:val="0"/>
          <w:numId w:val="1001"/>
        </w:numPr>
        <w:pStyle w:val="Compact"/>
      </w:pPr>
      <w:r>
        <w:rPr>
          <w:bCs/>
          <w:b/>
        </w:rPr>
        <w:t xml:space="preserve">Health and Safety:</w:t>
      </w:r>
      <w:r>
        <w:t xml:space="preserve"> </w:t>
      </w:r>
      <w:r>
        <w:t xml:space="preserve">Mason shall comply with D.Lgs. 81/2008 (Testo Unico sulla Sicurezza sul Lavoro) and all site-specific safety plans approved by the Coordinatore per la Sicurezza in Fase di Esecuzione (CSE) for this project in Rome, Italy.</w:t>
      </w:r>
    </w:p>
    <w:p>
      <w:pPr>
        <w:numPr>
          <w:ilvl w:val="0"/>
          <w:numId w:val="1001"/>
        </w:numPr>
        <w:pStyle w:val="Compact"/>
      </w:pPr>
      <w:r>
        <w:rPr>
          <w:bCs/>
          <w:b/>
        </w:rPr>
        <w:t xml:space="preserve">Payment:</w:t>
      </w:r>
      <w:r>
        <w:t xml:space="preserve"> </w:t>
      </w:r>
      <w:r>
        <w:t xml:space="preserve">Payment shall be made via bank wire transfer within thirty (30) calendar days of receipt of a valid Italian electronic invoice (fattura elettronica) transmitted through the Sistema di Interscambio (SdI) of the Agenzia delle Entrate, Italy. Late payments shall accrue interest at the rate prescribed by D.Lgs. 231/2002.</w:t>
      </w:r>
    </w:p>
    <w:p>
      <w:pPr>
        <w:numPr>
          <w:ilvl w:val="0"/>
          <w:numId w:val="1001"/>
        </w:numPr>
        <w:pStyle w:val="Compact"/>
      </w:pPr>
      <w:r>
        <w:rPr>
          <w:bCs/>
          <w:b/>
        </w:rPr>
        <w:t xml:space="preserve">Warranty:</w:t>
      </w:r>
      <w:r>
        <w:t xml:space="preserve"> </w:t>
      </w:r>
      <w:r>
        <w:t xml:space="preserve">Mason provides a statutory warranty of twenty-four (24) months on all masonry workmanship and materials, in accordance with Articles 1668–1669 of the Italian Civil Code. Any defects discovered within this period in the masonry work performed in Rome, Italy, shall be remedied at no additional cost to the Purchasing Entity.</w:t>
      </w:r>
    </w:p>
    <w:p>
      <w:pPr>
        <w:numPr>
          <w:ilvl w:val="0"/>
          <w:numId w:val="1001"/>
        </w:numPr>
        <w:pStyle w:val="Compact"/>
      </w:pPr>
      <w:r>
        <w:rPr>
          <w:bCs/>
          <w:b/>
        </w:rPr>
        <w:t xml:space="preserve">Dispute Resolution:</w:t>
      </w:r>
      <w:r>
        <w:t xml:space="preserve"> </w:t>
      </w:r>
      <w:r>
        <w:t xml:space="preserve">Any dispute arising from this Purchase Order shall be resolved by the competent court of Rome, Italy (Tribunale di Roma), or by binding arbitration under the rules of the Camera Arbitrale di Roma, Italy, at the mutual agreement of both parties.</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severe weather events affecting construction in Rome, Italy, government-mandated site closures, or supply chain disruptions, provided that written notice is given within five (5) business days.</w:t>
      </w:r>
    </w:p>
    <w:bookmarkEnd w:id="23"/>
    <w:bookmarkStart w:id="24" w:name="authorization-and-signatures"/>
    <w:p>
      <w:pPr>
        <w:pStyle w:val="Heading2"/>
      </w:pPr>
      <w:r>
        <w:t xml:space="preserve">4. Authorization and Signatures</w:t>
      </w:r>
    </w:p>
    <w:p>
      <w:pPr>
        <w:pStyle w:val="FirstParagraph"/>
      </w:pPr>
      <w:r>
        <w:t xml:space="preserve">By signing below, both parties acknowledge and accept all terms, conditions, line items, and obligations set forth in this Purchase Order. This document constitutes a binding agreement between the Purchasing Entity and Mason &amp; Partners S.r.l. for the masonry restoration project in Rome, Italy. This Purchase Order may be amended only by written addendum signed by both parties and registered with the relevant Italian commercial registry.</w:t>
      </w:r>
    </w:p>
    <w:p>
      <w:pPr>
        <w:pStyle w:val="BodyText"/>
      </w:pPr>
      <w:r>
        <w:rPr>
          <w:bCs/>
          <w:b/>
        </w:rPr>
        <w:t xml:space="preserve">For the Purchasing Entity</w:t>
      </w:r>
      <w:r>
        <w:br/>
      </w:r>
      <w:r>
        <w:t xml:space="preserve">Studio Architettonico Rossi &amp; Associati</w:t>
      </w:r>
      <w:r>
        <w:br/>
      </w:r>
      <w:r>
        <w:t xml:space="preserve">Name: Arch. Marco Rossi</w:t>
      </w:r>
      <w:r>
        <w:br/>
      </w:r>
      <w:r>
        <w:t xml:space="preserve">Title: Senior Partner / Authorized Signatory</w:t>
      </w:r>
      <w:r>
        <w:br/>
      </w:r>
      <w:r>
        <w:t xml:space="preserve">Date: _______________</w:t>
      </w:r>
    </w:p>
    <w:p>
      <w:pPr>
        <w:pStyle w:val="BodyText"/>
      </w:pPr>
      <w:r>
        <w:rPr>
          <w:bCs/>
          <w:b/>
        </w:rPr>
        <w:t xml:space="preserve">For the Vendor / Mason Contractor</w:t>
      </w:r>
      <w:r>
        <w:br/>
      </w:r>
      <w:r>
        <w:t xml:space="preserve">Mason &amp; Partners S.r.l.</w:t>
      </w:r>
      <w:r>
        <w:br/>
      </w:r>
      <w:r>
        <w:t xml:space="preserve">Name: Ing. Luca Bianchi</w:t>
      </w:r>
      <w:r>
        <w:br/>
      </w:r>
      <w:r>
        <w:t xml:space="preserve">Title: General Manager / Authorized Signatory</w:t>
      </w:r>
      <w:r>
        <w:br/>
      </w:r>
      <w:r>
        <w:t xml:space="preserve">Date: _______________</w:t>
      </w:r>
    </w:p>
    <w:p>
      <w:pPr>
        <w:pStyle w:val="BodyText"/>
      </w:pPr>
      <w:r>
        <w:t xml:space="preserve">Purchase Order PO-IT-RM-2025-04871 — Issued in Rome, Italy — Page 1 of 1</w:t>
      </w:r>
    </w:p>
    <w:p>
      <w:pPr>
        <w:pStyle w:val="BodyText"/>
      </w:pPr>
      <w:r>
        <w:t xml:space="preserve">This Purchase Order is a controlled document. Unauthorized reproduction or distribution is prohibited under Italian copyright law (D.Lgs. 584/1993).</w:t>
      </w:r>
    </w:p>
    <w:p>
      <w:pPr>
        <w:pStyle w:val="BodyText"/>
      </w:pPr>
      <w:r>
        <w:t xml:space="preserve">Mason &amp; Partners S.r.l. — Via Appia Antica, 217, 00179 Roma (RM), Italy — P.IVA: IT08472910083 — REA: RM-1234567</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Mason - Italy Rome</dc:title>
  <dc:creator/>
  <dc:language>en</dc:language>
  <cp:keywords/>
  <dcterms:created xsi:type="dcterms:W3CDTF">2026-10-10T01:10:36Z</dcterms:created>
  <dcterms:modified xsi:type="dcterms:W3CDTF">2026-10-10T01:10:36Z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