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Almaty,</w:t>
      </w:r>
      <w:r>
        <w:t xml:space="preserve"> </w:t>
      </w:r>
      <w:r>
        <w:t xml:space="preserve">Kazakhstan</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PO-KZ-ALM-2025-04871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Operation:</w:t>
      </w:r>
      <w:r>
        <w:t xml:space="preserve"> </w:t>
      </w:r>
      <w:r>
        <w:t xml:space="preserve">Kazakhstan</w:t>
      </w:r>
    </w:p>
    <w:p>
      <w:pPr>
        <w:pStyle w:val="BodyText"/>
      </w:pPr>
      <w:r>
        <w:rPr>
          <w:bCs/>
          <w:b/>
        </w:rPr>
        <w:t xml:space="preserve">City of Performance:</w:t>
      </w:r>
      <w:r>
        <w:t xml:space="preserve"> </w:t>
      </w:r>
      <w:r>
        <w:t xml:space="preserve">Almaty</w:t>
      </w:r>
    </w:p>
    <w:p>
      <w:pPr>
        <w:pStyle w:val="BodyText"/>
      </w:pPr>
      <w:r>
        <w:rPr>
          <w:bCs/>
          <w:b/>
        </w:rPr>
        <w:t xml:space="preserve">Buyer (Purchasing Entity):</w:t>
      </w:r>
    </w:p>
    <w:p>
      <w:pPr>
        <w:pStyle w:val="BodyText"/>
      </w:pPr>
      <w:r>
        <w:t xml:space="preserve">Almaty Infrastructure Development JSC</w:t>
      </w:r>
    </w:p>
    <w:p>
      <w:pPr>
        <w:pStyle w:val="BodyText"/>
      </w:pPr>
      <w:r>
        <w:t xml:space="preserve">45 Abay Avenue, Almaty 050040, Kazakhstan</w:t>
      </w:r>
    </w:p>
    <w:p>
      <w:pPr>
        <w:pStyle w:val="BodyText"/>
      </w:pPr>
      <w:r>
        <w:t xml:space="preserve">Tax ID (BIN): 990440012345</w:t>
      </w:r>
    </w:p>
    <w:p>
      <w:pPr>
        <w:pStyle w:val="BodyText"/>
      </w:pPr>
      <w:r>
        <w:t xml:space="preserve">Contact: D. Serikbayev, Procurement Director</w:t>
      </w:r>
    </w:p>
    <w:p>
      <w:pPr>
        <w:pStyle w:val="BodyText"/>
      </w:pPr>
      <w:r>
        <w:t xml:space="preserve">Email: procurement@aidj.kz</w:t>
      </w:r>
    </w:p>
    <w:bookmarkStart w:id="20" w:name="supplier-contractor-information"/>
    <w:p>
      <w:pPr>
        <w:pStyle w:val="Heading2"/>
      </w:pPr>
      <w:r>
        <w:t xml:space="preserve">Supplier / Contractor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Mason Construction &amp; Masonry Services LLP</w:t>
            </w:r>
          </w:p>
        </w:tc>
      </w:tr>
      <w:tr>
        <w:tc>
          <w:tcPr/>
          <w:p>
            <w:pPr>
              <w:pStyle w:val="Compact"/>
              <w:jc w:val="left"/>
            </w:pPr>
            <w:r>
              <w:t xml:space="preserve">Address</w:t>
            </w:r>
          </w:p>
        </w:tc>
        <w:tc>
          <w:tcPr/>
          <w:p>
            <w:pPr>
              <w:pStyle w:val="Compact"/>
              <w:jc w:val="left"/>
            </w:pPr>
            <w:r>
              <w:t xml:space="preserve">12 Zhubanov Street, Almaty 050039, Kazakhstan</w:t>
            </w:r>
          </w:p>
        </w:tc>
      </w:tr>
      <w:tr>
        <w:tc>
          <w:tcPr/>
          <w:p>
            <w:pPr>
              <w:pStyle w:val="Compact"/>
              <w:jc w:val="left"/>
            </w:pPr>
            <w:r>
              <w:t xml:space="preserve">Tax ID (BIN)</w:t>
            </w:r>
          </w:p>
        </w:tc>
        <w:tc>
          <w:tcPr/>
          <w:p>
            <w:pPr>
              <w:pStyle w:val="Compact"/>
              <w:jc w:val="left"/>
            </w:pPr>
            <w:r>
              <w:t xml:space="preserve">020440067890</w:t>
            </w:r>
          </w:p>
        </w:tc>
      </w:tr>
      <w:tr>
        <w:tc>
          <w:tcPr/>
          <w:p>
            <w:pPr>
              <w:pStyle w:val="Compact"/>
              <w:jc w:val="left"/>
            </w:pPr>
            <w:r>
              <w:t xml:space="preserve">Authorized Representative</w:t>
            </w:r>
          </w:p>
        </w:tc>
        <w:tc>
          <w:tcPr/>
          <w:p>
            <w:pPr>
              <w:pStyle w:val="Compact"/>
              <w:jc w:val="left"/>
            </w:pPr>
            <w:r>
              <w:t xml:space="preserve">Mr. T. Mason, General Manager</w:t>
            </w:r>
          </w:p>
        </w:tc>
      </w:tr>
      <w:tr>
        <w:tc>
          <w:tcPr/>
          <w:p>
            <w:pPr>
              <w:pStyle w:val="Compact"/>
              <w:jc w:val="left"/>
            </w:pPr>
            <w:r>
              <w:t xml:space="preserve">Phone</w:t>
            </w:r>
          </w:p>
        </w:tc>
        <w:tc>
          <w:tcPr/>
          <w:p>
            <w:pPr>
              <w:pStyle w:val="Compact"/>
              <w:jc w:val="left"/>
            </w:pPr>
            <w:r>
              <w:t xml:space="preserve">+7 (727) 345-67-89</w:t>
            </w:r>
          </w:p>
        </w:tc>
      </w:tr>
      <w:tr>
        <w:tc>
          <w:tcPr/>
          <w:p>
            <w:pPr>
              <w:pStyle w:val="Compact"/>
              <w:jc w:val="left"/>
            </w:pPr>
            <w:r>
              <w:t xml:space="preserve">Email</w:t>
            </w:r>
          </w:p>
        </w:tc>
        <w:tc>
          <w:tcPr/>
          <w:p>
            <w:pPr>
              <w:pStyle w:val="Compact"/>
              <w:jc w:val="left"/>
            </w:pPr>
            <w:r>
              <w:t xml:space="preserve">orders@mason-kz.com</w:t>
            </w:r>
          </w:p>
        </w:tc>
      </w:tr>
      <w:tr>
        <w:tc>
          <w:tcPr/>
          <w:p>
            <w:pPr>
              <w:pStyle w:val="Compact"/>
              <w:jc w:val="left"/>
            </w:pPr>
            <w:r>
              <w:t xml:space="preserve">Bank</w:t>
            </w:r>
          </w:p>
        </w:tc>
        <w:tc>
          <w:tcPr/>
          <w:p>
            <w:pPr>
              <w:pStyle w:val="Compact"/>
              <w:jc w:val="left"/>
            </w:pPr>
            <w:r>
              <w:t xml:space="preserve">Halyk Bank, Almaty Branch</w:t>
            </w:r>
          </w:p>
        </w:tc>
      </w:tr>
      <w:tr>
        <w:tc>
          <w:tcPr/>
          <w:p>
            <w:pPr>
              <w:pStyle w:val="Compact"/>
              <w:jc w:val="left"/>
            </w:pPr>
            <w:r>
              <w:t xml:space="preserve">IBAN</w:t>
            </w:r>
          </w:p>
        </w:tc>
        <w:tc>
          <w:tcPr/>
          <w:p>
            <w:pPr>
              <w:pStyle w:val="Compact"/>
              <w:jc w:val="left"/>
            </w:pPr>
            <w:r>
              <w:t xml:space="preserve">KZ88 9910 0000 1234 5678 90</w:t>
            </w:r>
          </w:p>
        </w:tc>
      </w:tr>
    </w:tbl>
    <w:bookmarkEnd w:id="20"/>
    <w:bookmarkStart w:id="21" w:name="project-description"/>
    <w:p>
      <w:pPr>
        <w:pStyle w:val="Heading2"/>
      </w:pPr>
      <w:r>
        <w:t xml:space="preserve">Project Description</w:t>
      </w:r>
    </w:p>
    <w:p>
      <w:pPr>
        <w:pStyle w:val="FirstParagraph"/>
      </w:pPr>
      <w:r>
        <w:t xml:space="preserve">This Purchase Order is issued by Almaty Infrastructure Development JSC to</w:t>
      </w:r>
      <w:r>
        <w:t xml:space="preserve"> </w:t>
      </w:r>
      <w:r>
        <w:rPr>
          <w:bCs/>
          <w:b/>
        </w:rPr>
        <w:t xml:space="preserve">Mason Construction &amp; Masonry Services LLP</w:t>
      </w:r>
      <w:r>
        <w:t xml:space="preserve"> </w:t>
      </w:r>
      <w:r>
        <w:t xml:space="preserve">(hereinafter referred to as "Mason") for the supply of masonry materials, execution of masonry works, and provision of related construction services at the Almaty Municipal Housing Complex, located at 88 Dostyk Avenue, Almaty, Kazakhstan. The scope of work encompasses the complete masonry construction of three residential blocks, including foundation brickwork, load-bearing wall construction, interior partition masonry, and finishing plastering. All materials and labor must comply with the national building codes of the Republic of Kazakhstan (SNiP and GOST standards) as well as the specific technical specifications outlined in Annex A of this Purchase Order.</w:t>
      </w:r>
    </w:p>
    <w:bookmarkEnd w:id="21"/>
    <w:bookmarkStart w:id="22"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Red clay bricks, Class 25, 250x120x65 mm, for load-bearing masonry walls</w:t>
            </w:r>
          </w:p>
        </w:tc>
        <w:tc>
          <w:tcPr/>
          <w:p>
            <w:pPr>
              <w:pStyle w:val="Compact"/>
              <w:jc w:val="left"/>
            </w:pPr>
            <w:r>
              <w:t xml:space="preserve">pcs</w:t>
            </w:r>
          </w:p>
        </w:tc>
        <w:tc>
          <w:tcPr/>
          <w:p>
            <w:pPr>
              <w:pStyle w:val="Compact"/>
              <w:jc w:val="left"/>
            </w:pPr>
            <w:r>
              <w:t xml:space="preserve">1,250,000</w:t>
            </w:r>
          </w:p>
        </w:tc>
        <w:tc>
          <w:tcPr/>
          <w:p>
            <w:pPr>
              <w:pStyle w:val="Compact"/>
              <w:jc w:val="left"/>
            </w:pPr>
            <w:r>
              <w:t xml:space="preserve">185.00</w:t>
            </w:r>
          </w:p>
        </w:tc>
        <w:tc>
          <w:tcPr/>
          <w:p>
            <w:pPr>
              <w:pStyle w:val="Compact"/>
              <w:jc w:val="left"/>
            </w:pPr>
            <w:r>
              <w:t xml:space="preserve">231,250,000.00</w:t>
            </w:r>
          </w:p>
        </w:tc>
      </w:tr>
      <w:tr>
        <w:tc>
          <w:tcPr/>
          <w:p>
            <w:pPr>
              <w:pStyle w:val="Compact"/>
              <w:jc w:val="left"/>
            </w:pPr>
            <w:r>
              <w:t xml:space="preserve">02</w:t>
            </w:r>
          </w:p>
        </w:tc>
        <w:tc>
          <w:tcPr/>
          <w:p>
            <w:pPr>
              <w:pStyle w:val="Compact"/>
              <w:jc w:val="left"/>
            </w:pPr>
            <w:r>
              <w:t xml:space="preserve">Portland cement, Grade 42.5N, 50 kg bags, for masonry mortar preparation</w:t>
            </w:r>
          </w:p>
        </w:tc>
        <w:tc>
          <w:tcPr/>
          <w:p>
            <w:pPr>
              <w:pStyle w:val="Compact"/>
              <w:jc w:val="left"/>
            </w:pPr>
            <w:r>
              <w:t xml:space="preserve">bags</w:t>
            </w:r>
          </w:p>
        </w:tc>
        <w:tc>
          <w:tcPr/>
          <w:p>
            <w:pPr>
              <w:pStyle w:val="Compact"/>
              <w:jc w:val="left"/>
            </w:pPr>
            <w:r>
              <w:t xml:space="preserve">48,000</w:t>
            </w:r>
          </w:p>
        </w:tc>
        <w:tc>
          <w:tcPr/>
          <w:p>
            <w:pPr>
              <w:pStyle w:val="Compact"/>
              <w:jc w:val="left"/>
            </w:pPr>
            <w:r>
              <w:t xml:space="preserve">2,150.00</w:t>
            </w:r>
          </w:p>
        </w:tc>
        <w:tc>
          <w:tcPr/>
          <w:p>
            <w:pPr>
              <w:pStyle w:val="Compact"/>
              <w:jc w:val="left"/>
            </w:pPr>
            <w:r>
              <w:t xml:space="preserve">103,200,000.00</w:t>
            </w:r>
          </w:p>
        </w:tc>
      </w:tr>
      <w:tr>
        <w:tc>
          <w:tcPr/>
          <w:p>
            <w:pPr>
              <w:pStyle w:val="Compact"/>
              <w:jc w:val="left"/>
            </w:pPr>
            <w:r>
              <w:t xml:space="preserve">03</w:t>
            </w:r>
          </w:p>
        </w:tc>
        <w:tc>
          <w:tcPr/>
          <w:p>
            <w:pPr>
              <w:pStyle w:val="Compact"/>
              <w:jc w:val="left"/>
            </w:pPr>
            <w:r>
              <w:t xml:space="preserve">Washed river sand, 0-5 mm grain, for masonry and plastering mortar</w:t>
            </w:r>
          </w:p>
        </w:tc>
        <w:tc>
          <w:tcPr/>
          <w:p>
            <w:pPr>
              <w:pStyle w:val="Compact"/>
              <w:jc w:val="left"/>
            </w:pPr>
            <w:r>
              <w:t xml:space="preserve">m³</w:t>
            </w:r>
          </w:p>
        </w:tc>
        <w:tc>
          <w:tcPr/>
          <w:p>
            <w:pPr>
              <w:pStyle w:val="Compact"/>
              <w:jc w:val="left"/>
            </w:pPr>
            <w:r>
              <w:t xml:space="preserve">3,200</w:t>
            </w:r>
          </w:p>
        </w:tc>
        <w:tc>
          <w:tcPr/>
          <w:p>
            <w:pPr>
              <w:pStyle w:val="Compact"/>
              <w:jc w:val="left"/>
            </w:pPr>
            <w:r>
              <w:t xml:space="preserve">12,500.00</w:t>
            </w:r>
          </w:p>
        </w:tc>
        <w:tc>
          <w:tcPr/>
          <w:p>
            <w:pPr>
              <w:pStyle w:val="Compact"/>
              <w:jc w:val="left"/>
            </w:pPr>
            <w:r>
              <w:t xml:space="preserve">40,000,000.00</w:t>
            </w:r>
          </w:p>
        </w:tc>
      </w:tr>
      <w:tr>
        <w:tc>
          <w:tcPr/>
          <w:p>
            <w:pPr>
              <w:pStyle w:val="Compact"/>
              <w:jc w:val="left"/>
            </w:pPr>
            <w:r>
              <w:t xml:space="preserve">04</w:t>
            </w:r>
          </w:p>
        </w:tc>
        <w:tc>
          <w:tcPr/>
          <w:p>
            <w:pPr>
              <w:pStyle w:val="Compact"/>
              <w:jc w:val="left"/>
            </w:pPr>
            <w:r>
              <w:t xml:space="preserve">Execution of load-bearing masonry walls (3 blocks, approx. 18,500 m³ of brickwork)</w:t>
            </w:r>
          </w:p>
        </w:tc>
        <w:tc>
          <w:tcPr/>
          <w:p>
            <w:pPr>
              <w:pStyle w:val="Compact"/>
              <w:jc w:val="left"/>
            </w:pPr>
            <w:r>
              <w:t xml:space="preserve">m³</w:t>
            </w:r>
          </w:p>
        </w:tc>
        <w:tc>
          <w:tcPr/>
          <w:p>
            <w:pPr>
              <w:pStyle w:val="Compact"/>
              <w:jc w:val="left"/>
            </w:pPr>
            <w:r>
              <w:t xml:space="preserve">18,500</w:t>
            </w:r>
          </w:p>
        </w:tc>
        <w:tc>
          <w:tcPr/>
          <w:p>
            <w:pPr>
              <w:pStyle w:val="Compact"/>
              <w:jc w:val="left"/>
            </w:pPr>
            <w:r>
              <w:t xml:space="preserve">42,000.00</w:t>
            </w:r>
          </w:p>
        </w:tc>
        <w:tc>
          <w:tcPr/>
          <w:p>
            <w:pPr>
              <w:pStyle w:val="Compact"/>
              <w:jc w:val="left"/>
            </w:pPr>
            <w:r>
              <w:t xml:space="preserve">777,000,000.00</w:t>
            </w:r>
          </w:p>
        </w:tc>
      </w:tr>
      <w:tr>
        <w:tc>
          <w:tcPr/>
          <w:p>
            <w:pPr>
              <w:pStyle w:val="Compact"/>
              <w:jc w:val="left"/>
            </w:pPr>
            <w:r>
              <w:t xml:space="preserve">05</w:t>
            </w:r>
          </w:p>
        </w:tc>
        <w:tc>
          <w:tcPr/>
          <w:p>
            <w:pPr>
              <w:pStyle w:val="Compact"/>
              <w:jc w:val="left"/>
            </w:pPr>
            <w:r>
              <w:t xml:space="preserve">Execution of interior partition masonry (hollow brick, approx. 6,200 m³)</w:t>
            </w:r>
          </w:p>
        </w:tc>
        <w:tc>
          <w:tcPr/>
          <w:p>
            <w:pPr>
              <w:pStyle w:val="Compact"/>
              <w:jc w:val="left"/>
            </w:pPr>
            <w:r>
              <w:t xml:space="preserve">m³</w:t>
            </w:r>
          </w:p>
        </w:tc>
        <w:tc>
          <w:tcPr/>
          <w:p>
            <w:pPr>
              <w:pStyle w:val="Compact"/>
              <w:jc w:val="left"/>
            </w:pPr>
            <w:r>
              <w:t xml:space="preserve">6,200</w:t>
            </w:r>
          </w:p>
        </w:tc>
        <w:tc>
          <w:tcPr/>
          <w:p>
            <w:pPr>
              <w:pStyle w:val="Compact"/>
              <w:jc w:val="left"/>
            </w:pPr>
            <w:r>
              <w:t xml:space="preserve">35,500.00</w:t>
            </w:r>
          </w:p>
        </w:tc>
        <w:tc>
          <w:tcPr/>
          <w:p>
            <w:pPr>
              <w:pStyle w:val="Compact"/>
              <w:jc w:val="left"/>
            </w:pPr>
            <w:r>
              <w:t xml:space="preserve">220,100,000.00</w:t>
            </w:r>
          </w:p>
        </w:tc>
      </w:tr>
      <w:tr>
        <w:tc>
          <w:tcPr/>
          <w:p>
            <w:pPr>
              <w:pStyle w:val="Compact"/>
              <w:jc w:val="left"/>
            </w:pPr>
            <w:r>
              <w:t xml:space="preserve">06</w:t>
            </w:r>
          </w:p>
        </w:tc>
        <w:tc>
          <w:tcPr/>
          <w:p>
            <w:pPr>
              <w:pStyle w:val="Compact"/>
              <w:jc w:val="left"/>
            </w:pPr>
            <w:r>
              <w:t xml:space="preserve">Foundation brickwork and damp-proof course installation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58,000,000.00</w:t>
            </w:r>
          </w:p>
        </w:tc>
        <w:tc>
          <w:tcPr/>
          <w:p>
            <w:pPr>
              <w:pStyle w:val="Compact"/>
              <w:jc w:val="left"/>
            </w:pPr>
            <w:r>
              <w:t xml:space="preserve">58,000,000.00</w:t>
            </w:r>
          </w:p>
        </w:tc>
      </w:tr>
      <w:tr>
        <w:tc>
          <w:tcPr/>
          <w:p>
            <w:pPr>
              <w:pStyle w:val="Compact"/>
              <w:jc w:val="left"/>
            </w:pPr>
            <w:r>
              <w:t xml:space="preserve">07</w:t>
            </w:r>
          </w:p>
        </w:tc>
        <w:tc>
          <w:tcPr/>
          <w:p>
            <w:pPr>
              <w:pStyle w:val="Compact"/>
              <w:jc w:val="left"/>
            </w:pPr>
            <w:r>
              <w:t xml:space="preserve">Interior and exterior plastering (two-coat, cement-sand mix)</w:t>
            </w:r>
          </w:p>
        </w:tc>
        <w:tc>
          <w:tcPr/>
          <w:p>
            <w:pPr>
              <w:pStyle w:val="Compact"/>
              <w:jc w:val="left"/>
            </w:pPr>
            <w:r>
              <w:t xml:space="preserve">m²</w:t>
            </w:r>
          </w:p>
        </w:tc>
        <w:tc>
          <w:tcPr/>
          <w:p>
            <w:pPr>
              <w:pStyle w:val="Compact"/>
              <w:jc w:val="left"/>
            </w:pPr>
            <w:r>
              <w:t xml:space="preserve">95,000</w:t>
            </w:r>
          </w:p>
        </w:tc>
        <w:tc>
          <w:tcPr/>
          <w:p>
            <w:pPr>
              <w:pStyle w:val="Compact"/>
              <w:jc w:val="left"/>
            </w:pPr>
            <w:r>
              <w:t xml:space="preserve">4,800.00</w:t>
            </w:r>
          </w:p>
        </w:tc>
        <w:tc>
          <w:tcPr/>
          <w:p>
            <w:pPr>
              <w:pStyle w:val="Compact"/>
              <w:jc w:val="left"/>
            </w:pPr>
            <w:r>
              <w:t xml:space="preserve">456,000,000.00</w:t>
            </w:r>
          </w:p>
        </w:tc>
      </w:tr>
      <w:tr>
        <w:tc>
          <w:tcPr/>
          <w:p>
            <w:pPr>
              <w:pStyle w:val="Compact"/>
              <w:jc w:val="left"/>
            </w:pPr>
            <w:r>
              <w:t xml:space="preserve">08</w:t>
            </w:r>
          </w:p>
        </w:tc>
        <w:tc>
          <w:tcPr/>
          <w:p>
            <w:pPr>
              <w:pStyle w:val="Compact"/>
              <w:jc w:val="left"/>
            </w:pPr>
            <w:r>
              <w:t xml:space="preserve">Mason crew supervision, quality control, and site management (14 months)</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3,200,000.00</w:t>
            </w:r>
          </w:p>
        </w:tc>
        <w:tc>
          <w:tcPr/>
          <w:p>
            <w:pPr>
              <w:pStyle w:val="Compact"/>
              <w:jc w:val="left"/>
            </w:pPr>
            <w:r>
              <w:t xml:space="preserve">44,800,000.00</w:t>
            </w:r>
          </w:p>
        </w:tc>
      </w:tr>
      <w:tr>
        <w:tc>
          <w:tcPr/>
          <w:p>
            <w:pPr>
              <w:pStyle w:val="Compact"/>
              <w:jc w:val="left"/>
            </w:pPr>
            <w:r>
              <w:t xml:space="preserve">09</w:t>
            </w:r>
          </w:p>
        </w:tc>
        <w:tc>
          <w:tcPr/>
          <w:p>
            <w:pPr>
              <w:pStyle w:val="Compact"/>
              <w:jc w:val="left"/>
            </w:pPr>
            <w:r>
              <w:t xml:space="preserve">Delivery of all masonry materials to the Almaty project site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12,500,000.00</w:t>
            </w:r>
          </w:p>
        </w:tc>
        <w:tc>
          <w:tcPr/>
          <w:p>
            <w:pPr>
              <w:pStyle w:val="Compact"/>
              <w:jc w:val="left"/>
            </w:pPr>
            <w:r>
              <w:t xml:space="preserve">12,500,000.00</w:t>
            </w:r>
          </w:p>
        </w:tc>
      </w:tr>
      <w:tr>
        <w:tc>
          <w:tcPr>
            <w:gridSpan w:val="5"/>
          </w:tcPr>
          <w:p>
            <w:pPr>
              <w:pStyle w:val="Compact"/>
              <w:jc w:val="left"/>
            </w:pPr>
            <w:r>
              <w:rPr>
                <w:bCs/>
                <w:b/>
              </w:rPr>
              <w:t xml:space="preserve">Subtotal (KZT)</w:t>
            </w:r>
          </w:p>
        </w:tc>
        <w:tc>
          <w:tcPr/>
          <w:p>
            <w:pPr>
              <w:pStyle w:val="Compact"/>
              <w:jc w:val="left"/>
            </w:pPr>
            <w:r>
              <w:rPr>
                <w:bCs/>
                <w:b/>
              </w:rPr>
              <w:t xml:space="preserve">1,942,850,000.00</w:t>
            </w:r>
          </w:p>
        </w:tc>
      </w:tr>
      <w:tr>
        <w:tc>
          <w:tcPr>
            <w:gridSpan w:val="5"/>
          </w:tcPr>
          <w:p>
            <w:pPr>
              <w:pStyle w:val="Compact"/>
              <w:jc w:val="left"/>
            </w:pPr>
            <w:r>
              <w:rPr>
                <w:bCs/>
                <w:b/>
              </w:rPr>
              <w:t xml:space="preserve">VAT (12% per Kazakhstan Tax Code)</w:t>
            </w:r>
          </w:p>
        </w:tc>
        <w:tc>
          <w:tcPr/>
          <w:p>
            <w:pPr>
              <w:pStyle w:val="Compact"/>
              <w:jc w:val="left"/>
            </w:pPr>
            <w:r>
              <w:rPr>
                <w:bCs/>
                <w:b/>
              </w:rPr>
              <w:t xml:space="preserve">233,142,000.00</w:t>
            </w:r>
          </w:p>
        </w:tc>
      </w:tr>
      <w:tr>
        <w:tc>
          <w:tcPr>
            <w:gridSpan w:val="5"/>
          </w:tcPr>
          <w:p>
            <w:pPr>
              <w:pStyle w:val="Compact"/>
              <w:jc w:val="left"/>
            </w:pPr>
            <w:r>
              <w:rPr>
                <w:bCs/>
                <w:b/>
              </w:rPr>
              <w:t xml:space="preserve">GRAND TOTAL (KZT)</w:t>
            </w:r>
          </w:p>
        </w:tc>
        <w:tc>
          <w:tcPr/>
          <w:p>
            <w:pPr>
              <w:pStyle w:val="Compact"/>
              <w:jc w:val="left"/>
            </w:pPr>
            <w:r>
              <w:rPr>
                <w:bCs/>
                <w:b/>
              </w:rPr>
              <w:t xml:space="preserve">2,175,992,000.00</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Kazakhstan and applicable construction regulations of Almaty city administration.</w:t>
      </w:r>
    </w:p>
    <w:p>
      <w:pPr>
        <w:numPr>
          <w:ilvl w:val="0"/>
          <w:numId w:val="1001"/>
        </w:numPr>
        <w:pStyle w:val="Compact"/>
      </w:pPr>
      <w:r>
        <w:rPr>
          <w:bCs/>
          <w:b/>
        </w:rPr>
        <w:t xml:space="preserve">Delivery and Performance:</w:t>
      </w:r>
      <w:r>
        <w:t xml:space="preserve"> </w:t>
      </w:r>
      <w:r>
        <w:t xml:space="preserve">Mason shall deliver all masonry materials to the designated site in Almaty within 30 calendar days of the Purchase Order acceptance date. Masonry construction works shall commence within 10 business days of material delivery and shall be completed within 14 months from the commencement date.</w:t>
      </w:r>
    </w:p>
    <w:p>
      <w:pPr>
        <w:numPr>
          <w:ilvl w:val="0"/>
          <w:numId w:val="1001"/>
        </w:numPr>
        <w:pStyle w:val="Compact"/>
      </w:pPr>
      <w:r>
        <w:rPr>
          <w:bCs/>
          <w:b/>
        </w:rPr>
        <w:t xml:space="preserve">Payment Terms:</w:t>
      </w:r>
      <w:r>
        <w:t xml:space="preserve"> </w:t>
      </w:r>
      <w:r>
        <w:t xml:space="preserve">Payment shall be made in ten (10) equal monthly installments via bank transfer to the IBAN specified above. The first installment is due within 15 business days of the Purchase Order acceptance. All payments are denominated in Kazakhstani Tenge (KZT).</w:t>
      </w:r>
    </w:p>
    <w:p>
      <w:pPr>
        <w:numPr>
          <w:ilvl w:val="0"/>
          <w:numId w:val="1001"/>
        </w:numPr>
        <w:pStyle w:val="Compact"/>
      </w:pPr>
      <w:r>
        <w:rPr>
          <w:bCs/>
          <w:b/>
        </w:rPr>
        <w:t xml:space="preserve">Quality Assurance:</w:t>
      </w:r>
      <w:r>
        <w:t xml:space="preserve"> </w:t>
      </w:r>
      <w:r>
        <w:t xml:space="preserve">Mason guarantees that all masonry work shall meet the standards set forth in SNiP 3.03.01-87 (Masonry Structures) and GOST 530-2012 (Bricks and Blocks). The Buyer reserves the right to conduct independent inspections at any stage of the masonry construction process.</w:t>
      </w:r>
    </w:p>
    <w:p>
      <w:pPr>
        <w:numPr>
          <w:ilvl w:val="0"/>
          <w:numId w:val="1001"/>
        </w:numPr>
        <w:pStyle w:val="Compact"/>
      </w:pPr>
      <w:r>
        <w:rPr>
          <w:bCs/>
          <w:b/>
        </w:rPr>
        <w:t xml:space="preserve">Warranty:</w:t>
      </w:r>
      <w:r>
        <w:t xml:space="preserve"> </w:t>
      </w:r>
      <w:r>
        <w:t xml:space="preserve">Mason provides a structural warranty of five (5) years on all masonry works performed under this Purchase Order, commencing from the date of final acceptance by the Almaty city construction authority.</w:t>
      </w:r>
    </w:p>
    <w:p>
      <w:pPr>
        <w:numPr>
          <w:ilvl w:val="0"/>
          <w:numId w:val="1001"/>
        </w:numPr>
        <w:pStyle w:val="Compact"/>
      </w:pPr>
      <w:r>
        <w:rPr>
          <w:bCs/>
          <w:b/>
        </w:rPr>
        <w:t xml:space="preserve">Penalties:</w:t>
      </w:r>
      <w:r>
        <w:t xml:space="preserve"> </w:t>
      </w:r>
      <w:r>
        <w:t xml:space="preserve">In the event of delay in completing masonry works beyond the agreed timeline, Mason shall pay a penalty of 0.1% of the total Purchase Order value per calendar day of delay, up to a maximum of 10% of the total value.</w:t>
      </w:r>
    </w:p>
    <w:p>
      <w:pPr>
        <w:numPr>
          <w:ilvl w:val="0"/>
          <w:numId w:val="1001"/>
        </w:numPr>
        <w:pStyle w:val="Compact"/>
      </w:pPr>
      <w:r>
        <w:rPr>
          <w:bCs/>
          <w:b/>
        </w:rPr>
        <w:t xml:space="preserve">Force Majeure:</w:t>
      </w:r>
      <w:r>
        <w:t xml:space="preserve"> </w:t>
      </w:r>
      <w:r>
        <w:t xml:space="preserve">Neither party shall be liable for failure to perform obligations due to force majeure events as defined under Kazakhstan law, including but not limited to earthquakes, severe weather events affecting Almaty, or government-imposed restrictions.</w:t>
      </w:r>
    </w:p>
    <w:p>
      <w:pPr>
        <w:numPr>
          <w:ilvl w:val="0"/>
          <w:numId w:val="1001"/>
        </w:numPr>
        <w:pStyle w:val="Compact"/>
      </w:pPr>
      <w:r>
        <w:rPr>
          <w:bCs/>
          <w:b/>
        </w:rPr>
        <w:t xml:space="preserve">Dispute Resolution:</w:t>
      </w:r>
      <w:r>
        <w:t xml:space="preserve"> </w:t>
      </w:r>
      <w:r>
        <w:t xml:space="preserve">Any disputes arising from this Purchase Order shall first be subject to negotiation between the parties. If unresolved within 30 days, disputes shall be referred to the Arbitration Court of Almaty, Kazakhstan.</w:t>
      </w:r>
    </w:p>
    <w:p>
      <w:pPr>
        <w:numPr>
          <w:ilvl w:val="0"/>
          <w:numId w:val="1001"/>
        </w:numPr>
        <w:pStyle w:val="Compact"/>
      </w:pPr>
      <w:r>
        <w:rPr>
          <w:bCs/>
          <w:b/>
        </w:rPr>
        <w:t xml:space="preserve">Insurance:</w:t>
      </w:r>
      <w:r>
        <w:t xml:space="preserve"> </w:t>
      </w:r>
      <w:r>
        <w:t xml:space="preserve">Mason shall maintain comprehensive construction all-risk insurance and workers' compensation insurance for all masonry personnel on site throughout the duration of the project.</w:t>
      </w:r>
    </w:p>
    <w:p>
      <w:pPr>
        <w:numPr>
          <w:ilvl w:val="0"/>
          <w:numId w:val="1001"/>
        </w:numPr>
        <w:pStyle w:val="Compact"/>
      </w:pPr>
      <w:r>
        <w:rPr>
          <w:bCs/>
          <w:b/>
        </w:rPr>
        <w:t xml:space="preserve">Compliance:</w:t>
      </w:r>
      <w:r>
        <w:t xml:space="preserve"> </w:t>
      </w:r>
      <w:r>
        <w:t xml:space="preserve">Mason certifies that all personnel engaged in masonry work at the Almaty site shall hold valid work permits and comply with all labor and safety regulations of the Republic of Kazakhstan.</w:t>
      </w:r>
    </w:p>
    <w:bookmarkEnd w:id="23"/>
    <w:bookmarkStart w:id="24" w:name="acceptance-and-authorization"/>
    <w:p>
      <w:pPr>
        <w:pStyle w:val="Heading2"/>
      </w:pPr>
      <w:r>
        <w:t xml:space="preserve">Acceptance and Authorization</w:t>
      </w:r>
    </w:p>
    <w:p>
      <w:pPr>
        <w:pStyle w:val="FirstParagraph"/>
      </w:pPr>
      <w:r>
        <w:rPr>
          <w:bCs/>
          <w:b/>
        </w:rPr>
        <w:t xml:space="preserve">For and on behalf of the Buyer:</w:t>
      </w:r>
    </w:p>
    <w:p>
      <w:pPr>
        <w:pStyle w:val="BodyText"/>
      </w:pPr>
      <w:r>
        <w:t xml:space="preserve">Almaty Infrastructure Development JSC</w:t>
      </w:r>
    </w:p>
    <w:p>
      <w:pPr>
        <w:pStyle w:val="BodyText"/>
      </w:pPr>
      <w:r>
        <w:t xml:space="preserve">Name: D. Serikbayev</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Mason Construction &amp; Masonry Services LLP</w:t>
      </w:r>
    </w:p>
    <w:p>
      <w:pPr>
        <w:pStyle w:val="BodyText"/>
      </w:pPr>
      <w:r>
        <w:t xml:space="preserve">Name: T. Mason</w:t>
      </w:r>
    </w:p>
    <w:p>
      <w:pPr>
        <w:pStyle w:val="BodyText"/>
      </w:pPr>
      <w:r>
        <w:t xml:space="preserve">Title: General Manager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document is issued in Almaty, Kazakhstan. It constitutes a binding commercial agreement between the parties upon signature by both authorized representatives. All references to "Mason" in this document refer to Mason Construction &amp; Masonry Services LLP, a registered legal entity in the Republic of Kazakhstan. This document is valid only for the project located in Almaty, Kazakhstan, and shall not be transferred or assigned to any third party without prior written consent of both parties.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Services - Almaty, Kazakhstan</dc:title>
  <dc:creator/>
  <dc:language>en</dc:language>
  <cp:keywords/>
  <dcterms:created xsi:type="dcterms:W3CDTF">2026-10-10T04:40:37Z</dcterms:created>
  <dcterms:modified xsi:type="dcterms:W3CDTF">2026-10-10T04:40:37Z</dcterms:modified>
</cp:coreProperties>
</file>

<file path=docProps/custom.xml><?xml version="1.0" encoding="utf-8"?>
<Properties xmlns="http://schemas.openxmlformats.org/officeDocument/2006/custom-properties" xmlns:vt="http://schemas.openxmlformats.org/officeDocument/2006/docPropsVTypes"/>
</file>