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Mason</w:t>
      </w:r>
      <w:r>
        <w:t xml:space="preserve"> </w:t>
      </w:r>
      <w:r>
        <w:t xml:space="preserve">Services</w:t>
      </w:r>
      <w:r>
        <w:t xml:space="preserve"> </w:t>
      </w:r>
      <w:r>
        <w:t xml:space="preserve">-</w:t>
      </w:r>
      <w:r>
        <w:t xml:space="preserve"> </w:t>
      </w:r>
      <w:r>
        <w:t xml:space="preserve">Kenya</w:t>
      </w:r>
      <w:r>
        <w:t xml:space="preserve"> </w:t>
      </w:r>
      <w:r>
        <w:t xml:space="preserve">Nairobi</w:t>
      </w:r>
    </w:p>
    <w:bookmarkStart w:id="20" w:name="purchase-order"/>
    <w:p>
      <w:pPr>
        <w:pStyle w:val="Heading1"/>
      </w:pPr>
      <w:r>
        <w:t xml:space="preserve">PURCHASE ORDER</w:t>
      </w:r>
    </w:p>
    <w:p>
      <w:pPr>
        <w:pStyle w:val="FirstParagraph"/>
      </w:pPr>
      <w:r>
        <w:rPr>
          <w:bCs/>
          <w:b/>
        </w:rPr>
        <w:t xml:space="preserve">Eastgate Construction &amp; Development Ltd.</w:t>
      </w:r>
    </w:p>
    <w:p>
      <w:pPr>
        <w:pStyle w:val="BodyText"/>
      </w:pPr>
      <w:r>
        <w:t xml:space="preserve">P.O. Box 4521, Westlands Business Park, Nairobi, Kenya</w:t>
      </w:r>
    </w:p>
    <w:p>
      <w:pPr>
        <w:pStyle w:val="BodyText"/>
      </w:pPr>
      <w:r>
        <w:t xml:space="preserve">Tel: +254 722 345 678 | Email: procurement@eastgatekenya.co.ke</w:t>
      </w:r>
    </w:p>
    <w:p>
      <w:pPr>
        <w:pStyle w:val="BodyText"/>
      </w:pPr>
      <w:r>
        <w:t xml:space="preserve">KRA PIN: P051234567X | Physical: Plot 12, Ngong Road, Nairobi</w:t>
      </w:r>
    </w:p>
    <w:bookmarkEnd w:id="20"/>
    <w:p>
      <w:pPr>
        <w:pStyle w:val="BodyText"/>
      </w:pPr>
      <w:r>
        <w:rPr>
          <w:bCs/>
          <w:b/>
        </w:rPr>
        <w:t xml:space="preserve">Purchase Order No.:</w:t>
      </w:r>
      <w:r>
        <w:t xml:space="preserve"> </w:t>
      </w:r>
      <w:r>
        <w:t xml:space="preserve">PO-ENB-2025-0487</w:t>
      </w:r>
    </w:p>
    <w:p>
      <w:pPr>
        <w:pStyle w:val="BodyText"/>
      </w:pPr>
      <w:r>
        <w:rPr>
          <w:bCs/>
          <w:b/>
        </w:rPr>
        <w:t xml:space="preserve">Date of Issue:</w:t>
      </w:r>
      <w:r>
        <w:t xml:space="preserve"> </w:t>
      </w:r>
      <w:r>
        <w:t xml:space="preserve">14 June 2025</w:t>
      </w:r>
    </w:p>
    <w:p>
      <w:pPr>
        <w:pStyle w:val="BodyText"/>
      </w:pPr>
      <w:r>
        <w:rPr>
          <w:bCs/>
          <w:b/>
        </w:rPr>
        <w:t xml:space="preserve">Valid Until:</w:t>
      </w:r>
      <w:r>
        <w:t xml:space="preserve"> </w:t>
      </w:r>
      <w:r>
        <w:t xml:space="preserve">14 July 2025</w:t>
      </w:r>
    </w:p>
    <w:p>
      <w:pPr>
        <w:pStyle w:val="BodyText"/>
      </w:pPr>
      <w:r>
        <w:rPr>
          <w:bCs/>
          <w:b/>
        </w:rPr>
        <w:t xml:space="preserve">Project Name:</w:t>
      </w:r>
      <w:r>
        <w:t xml:space="preserve"> </w:t>
      </w:r>
      <w:r>
        <w:t xml:space="preserve">Nairobi West Residential Complex – Phase II</w:t>
      </w:r>
    </w:p>
    <w:p>
      <w:pPr>
        <w:pStyle w:val="BodyText"/>
      </w:pPr>
      <w:r>
        <w:rPr>
          <w:bCs/>
          <w:b/>
        </w:rPr>
        <w:t xml:space="preserve">Project Location:</w:t>
      </w:r>
      <w:r>
        <w:t xml:space="preserve"> </w:t>
      </w:r>
      <w:r>
        <w:t xml:space="preserve">Muthaiga, Nairobi, Kenya</w:t>
      </w:r>
    </w:p>
    <w:p>
      <w:pPr>
        <w:pStyle w:val="BodyText"/>
      </w:pPr>
      <w:r>
        <w:rPr>
          <w:bCs/>
          <w:b/>
        </w:rPr>
        <w:t xml:space="preserve">Contract Reference:</w:t>
      </w:r>
      <w:r>
        <w:t xml:space="preserve"> </w:t>
      </w:r>
      <w:r>
        <w:t xml:space="preserve">CTR-2025-NRB-112</w:t>
      </w:r>
    </w:p>
    <w:p>
      <w:pPr>
        <w:pStyle w:val="BodyText"/>
      </w:pPr>
      <w:r>
        <w:rPr>
          <w:bCs/>
          <w:b/>
        </w:rPr>
        <w:t xml:space="preserve">Vendor / Mason Contractor:</w:t>
      </w:r>
      <w:r>
        <w:t xml:space="preserve"> </w:t>
      </w:r>
      <w:r>
        <w:t xml:space="preserve">StoneCraft Masonry Services Ltd.</w:t>
      </w:r>
    </w:p>
    <w:p>
      <w:pPr>
        <w:pStyle w:val="BodyText"/>
      </w:pPr>
      <w:r>
        <w:rPr>
          <w:bCs/>
          <w:b/>
        </w:rPr>
        <w:t xml:space="preserve">Vendor Address:</w:t>
      </w:r>
      <w:r>
        <w:t xml:space="preserve"> </w:t>
      </w:r>
      <w:r>
        <w:t xml:space="preserve">2nd Floor, Kenyatta Avenue, Nairobi, Kenya</w:t>
      </w:r>
    </w:p>
    <w:p>
      <w:pPr>
        <w:pStyle w:val="BodyText"/>
      </w:pPr>
      <w:r>
        <w:rPr>
          <w:bCs/>
          <w:b/>
        </w:rPr>
        <w:t xml:space="preserve">KRA PIN:</w:t>
      </w:r>
      <w:r>
        <w:t xml:space="preserve"> </w:t>
      </w:r>
      <w:r>
        <w:t xml:space="preserve">P098765432X</w:t>
      </w:r>
    </w:p>
    <w:p>
      <w:pPr>
        <w:pStyle w:val="BodyText"/>
      </w:pPr>
      <w:r>
        <w:t xml:space="preserve">1. DESCRIPTION OF MASON WORK REQUIRED</w:t>
      </w:r>
    </w:p>
    <w:p>
      <w:pPr>
        <w:pStyle w:val="BodyText"/>
      </w:pPr>
      <w:r>
        <w:t xml:space="preserve">This Purchase Order is issued by Eastgate Construction &amp; Development Ltd. to StoneCraft Masonry Services Ltd. for the provision of comprehensive mason and masonry construction services at the Nairobi West Residential Complex, Phase II, located in Muthaiga, Nairobi, Kenya. The mason contractor shall be responsible for all bricklaying, blockwork, concrete pouring, plastering, and finishing works as detailed in the line items below. All mason work shall comply with the Kenyan Building and Planning Act (Cap. 295), the National Construction Authority (NCA) standards, and the specifications outlined in the project contract. The mason team must hold valid NCA-registered certifications and demonstrate a minimum of five (5) years of experience in residential masonry projects within Nairobi and the broader Kenya region.</w:t>
      </w:r>
    </w:p>
    <w:p>
      <w:pPr>
        <w:pStyle w:val="BodyText"/>
      </w:pPr>
      <w:r>
        <w:t xml:space="preserve">2. LINE ITEMS – MASON SERVICES AND MATERIALS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Mason Work / Material</w:t>
            </w:r>
          </w:p>
        </w:tc>
        <w:tc>
          <w:tcPr/>
          <w:p>
            <w:pPr>
              <w:pStyle w:val="Compact"/>
              <w:jc w:val="left"/>
            </w:pPr>
            <w:r>
              <w:t xml:space="preserve">Unit</w:t>
            </w:r>
          </w:p>
        </w:tc>
        <w:tc>
          <w:tcPr/>
          <w:p>
            <w:pPr>
              <w:pStyle w:val="Compact"/>
              <w:jc w:val="left"/>
            </w:pPr>
            <w:r>
              <w:t xml:space="preserve">Quantity</w:t>
            </w:r>
          </w:p>
        </w:tc>
        <w:tc>
          <w:tcPr/>
          <w:p>
            <w:pPr>
              <w:pStyle w:val="Compact"/>
              <w:jc w:val="left"/>
            </w:pPr>
            <w:r>
              <w:t xml:space="preserve">Unit Price (KES)</w:t>
            </w:r>
          </w:p>
        </w:tc>
        <w:tc>
          <w:tcPr/>
          <w:p>
            <w:pPr>
              <w:pStyle w:val="Compact"/>
              <w:jc w:val="left"/>
            </w:pPr>
            <w:r>
              <w:t xml:space="preserve">Total Price (KES)</w:t>
            </w:r>
          </w:p>
        </w:tc>
      </w:tr>
      <w:tr>
        <w:tc>
          <w:tcPr/>
          <w:p>
            <w:pPr>
              <w:pStyle w:val="Compact"/>
              <w:jc w:val="left"/>
            </w:pPr>
            <w:r>
              <w:t xml:space="preserve">01</w:t>
            </w:r>
          </w:p>
        </w:tc>
        <w:tc>
          <w:tcPr/>
          <w:p>
            <w:pPr>
              <w:pStyle w:val="Compact"/>
              <w:jc w:val="left"/>
            </w:pPr>
            <w:r>
              <w:t xml:space="preserve">Supply and lay of 9-inch solid clay bricks for external walls (mason brickwork), including mortar mixing and curing, Muthaiga site, Nairobi</w:t>
            </w:r>
          </w:p>
        </w:tc>
        <w:tc>
          <w:tcPr/>
          <w:p>
            <w:pPr>
              <w:pStyle w:val="Compact"/>
              <w:jc w:val="left"/>
            </w:pPr>
            <w:r>
              <w:t xml:space="preserve">m²</w:t>
            </w:r>
          </w:p>
        </w:tc>
        <w:tc>
          <w:tcPr/>
          <w:p>
            <w:pPr>
              <w:pStyle w:val="Compact"/>
              <w:jc w:val="left"/>
            </w:pPr>
            <w:r>
              <w:t xml:space="preserve">1,250</w:t>
            </w:r>
          </w:p>
        </w:tc>
        <w:tc>
          <w:tcPr/>
          <w:p>
            <w:pPr>
              <w:pStyle w:val="Compact"/>
              <w:jc w:val="left"/>
            </w:pPr>
            <w:r>
              <w:t xml:space="preserve">2,850</w:t>
            </w:r>
          </w:p>
        </w:tc>
        <w:tc>
          <w:tcPr/>
          <w:p>
            <w:pPr>
              <w:pStyle w:val="Compact"/>
              <w:jc w:val="left"/>
            </w:pPr>
            <w:r>
              <w:t xml:space="preserve">3,562,500</w:t>
            </w:r>
          </w:p>
        </w:tc>
      </w:tr>
      <w:tr>
        <w:tc>
          <w:tcPr/>
          <w:p>
            <w:pPr>
              <w:pStyle w:val="Compact"/>
              <w:jc w:val="left"/>
            </w:pPr>
            <w:r>
              <w:t xml:space="preserve">02</w:t>
            </w:r>
          </w:p>
        </w:tc>
        <w:tc>
          <w:tcPr/>
          <w:p>
            <w:pPr>
              <w:pStyle w:val="Compact"/>
              <w:jc w:val="left"/>
            </w:pPr>
            <w:r>
              <w:t xml:space="preserve">Supply and lay of 6-inch hollow concrete blocks for internal partition walls (mason blockwork), including alignment and finishing</w:t>
            </w:r>
          </w:p>
        </w:tc>
        <w:tc>
          <w:tcPr/>
          <w:p>
            <w:pPr>
              <w:pStyle w:val="Compact"/>
              <w:jc w:val="left"/>
            </w:pPr>
            <w:r>
              <w:t xml:space="preserve">m²</w:t>
            </w:r>
          </w:p>
        </w:tc>
        <w:tc>
          <w:tcPr/>
          <w:p>
            <w:pPr>
              <w:pStyle w:val="Compact"/>
              <w:jc w:val="left"/>
            </w:pPr>
            <w:r>
              <w:t xml:space="preserve">2,100</w:t>
            </w:r>
          </w:p>
        </w:tc>
        <w:tc>
          <w:tcPr/>
          <w:p>
            <w:pPr>
              <w:pStyle w:val="Compact"/>
              <w:jc w:val="left"/>
            </w:pPr>
            <w:r>
              <w:t xml:space="preserve">1,950</w:t>
            </w:r>
          </w:p>
        </w:tc>
        <w:tc>
          <w:tcPr/>
          <w:p>
            <w:pPr>
              <w:pStyle w:val="Compact"/>
              <w:jc w:val="left"/>
            </w:pPr>
            <w:r>
              <w:t xml:space="preserve">4,095,000</w:t>
            </w:r>
          </w:p>
        </w:tc>
      </w:tr>
      <w:tr>
        <w:tc>
          <w:tcPr/>
          <w:p>
            <w:pPr>
              <w:pStyle w:val="Compact"/>
              <w:jc w:val="left"/>
            </w:pPr>
            <w:r>
              <w:t xml:space="preserve">03</w:t>
            </w:r>
          </w:p>
        </w:tc>
        <w:tc>
          <w:tcPr/>
          <w:p>
            <w:pPr>
              <w:pStyle w:val="Compact"/>
              <w:jc w:val="left"/>
            </w:pPr>
            <w:r>
              <w:t xml:space="preserve">Reinforced concrete foundation and ground beam pouring (mason concrete work), including formwork, rebar tying, and 28-day curing supervision</w:t>
            </w:r>
          </w:p>
        </w:tc>
        <w:tc>
          <w:tcPr/>
          <w:p>
            <w:pPr>
              <w:pStyle w:val="Compact"/>
              <w:jc w:val="left"/>
            </w:pPr>
            <w:r>
              <w:t xml:space="preserve">m³</w:t>
            </w:r>
          </w:p>
        </w:tc>
        <w:tc>
          <w:tcPr/>
          <w:p>
            <w:pPr>
              <w:pStyle w:val="Compact"/>
              <w:jc w:val="left"/>
            </w:pPr>
            <w:r>
              <w:t xml:space="preserve">340</w:t>
            </w:r>
          </w:p>
        </w:tc>
        <w:tc>
          <w:tcPr/>
          <w:p>
            <w:pPr>
              <w:pStyle w:val="Compact"/>
              <w:jc w:val="left"/>
            </w:pPr>
            <w:r>
              <w:t xml:space="preserve">18,500</w:t>
            </w:r>
          </w:p>
        </w:tc>
        <w:tc>
          <w:tcPr/>
          <w:p>
            <w:pPr>
              <w:pStyle w:val="Compact"/>
              <w:jc w:val="left"/>
            </w:pPr>
            <w:r>
              <w:t xml:space="preserve">6,290,000</w:t>
            </w:r>
          </w:p>
        </w:tc>
      </w:tr>
      <w:tr>
        <w:tc>
          <w:tcPr/>
          <w:p>
            <w:pPr>
              <w:pStyle w:val="Compact"/>
              <w:jc w:val="left"/>
            </w:pPr>
            <w:r>
              <w:t xml:space="preserve">04</w:t>
            </w:r>
          </w:p>
        </w:tc>
        <w:tc>
          <w:tcPr/>
          <w:p>
            <w:pPr>
              <w:pStyle w:val="Compact"/>
              <w:jc w:val="left"/>
            </w:pPr>
            <w:r>
              <w:t xml:space="preserve">Internal and external plastering (mason finishing work) using cement-sand mortar, 12mm thickness, two-coat application</w:t>
            </w:r>
          </w:p>
        </w:tc>
        <w:tc>
          <w:tcPr/>
          <w:p>
            <w:pPr>
              <w:pStyle w:val="Compact"/>
              <w:jc w:val="left"/>
            </w:pPr>
            <w:r>
              <w:t xml:space="preserve">m²</w:t>
            </w:r>
          </w:p>
        </w:tc>
        <w:tc>
          <w:tcPr/>
          <w:p>
            <w:pPr>
              <w:pStyle w:val="Compact"/>
              <w:jc w:val="left"/>
            </w:pPr>
            <w:r>
              <w:t xml:space="preserve">4,800</w:t>
            </w:r>
          </w:p>
        </w:tc>
        <w:tc>
          <w:tcPr/>
          <w:p>
            <w:pPr>
              <w:pStyle w:val="Compact"/>
              <w:jc w:val="left"/>
            </w:pPr>
            <w:r>
              <w:t xml:space="preserve">1,200</w:t>
            </w:r>
          </w:p>
        </w:tc>
        <w:tc>
          <w:tcPr/>
          <w:p>
            <w:pPr>
              <w:pStyle w:val="Compact"/>
              <w:jc w:val="left"/>
            </w:pPr>
            <w:r>
              <w:t xml:space="preserve">5,760,000</w:t>
            </w:r>
          </w:p>
        </w:tc>
      </w:tr>
      <w:tr>
        <w:tc>
          <w:tcPr/>
          <w:p>
            <w:pPr>
              <w:pStyle w:val="Compact"/>
              <w:jc w:val="left"/>
            </w:pPr>
            <w:r>
              <w:t xml:space="preserve">05</w:t>
            </w:r>
          </w:p>
        </w:tc>
        <w:tc>
          <w:tcPr/>
          <w:p>
            <w:pPr>
              <w:pStyle w:val="Compact"/>
              <w:jc w:val="left"/>
            </w:pPr>
            <w:r>
              <w:t xml:space="preserve">Supply of 42.5-grade Portland cement (50kg bags) for all mason mortar and concrete works at Nairobi site</w:t>
            </w:r>
          </w:p>
        </w:tc>
        <w:tc>
          <w:tcPr/>
          <w:p>
            <w:pPr>
              <w:pStyle w:val="Compact"/>
              <w:jc w:val="left"/>
            </w:pPr>
            <w:r>
              <w:t xml:space="preserve">Bag</w:t>
            </w:r>
          </w:p>
        </w:tc>
        <w:tc>
          <w:tcPr/>
          <w:p>
            <w:pPr>
              <w:pStyle w:val="Compact"/>
              <w:jc w:val="left"/>
            </w:pPr>
            <w:r>
              <w:t xml:space="preserve">3,200</w:t>
            </w:r>
          </w:p>
        </w:tc>
        <w:tc>
          <w:tcPr/>
          <w:p>
            <w:pPr>
              <w:pStyle w:val="Compact"/>
              <w:jc w:val="left"/>
            </w:pPr>
            <w:r>
              <w:t xml:space="preserve">1,450</w:t>
            </w:r>
          </w:p>
        </w:tc>
        <w:tc>
          <w:tcPr/>
          <w:p>
            <w:pPr>
              <w:pStyle w:val="Compact"/>
              <w:jc w:val="left"/>
            </w:pPr>
            <w:r>
              <w:t xml:space="preserve">4,640,000</w:t>
            </w:r>
          </w:p>
        </w:tc>
      </w:tr>
      <w:tr>
        <w:tc>
          <w:tcPr/>
          <w:p>
            <w:pPr>
              <w:pStyle w:val="Compact"/>
              <w:jc w:val="left"/>
            </w:pPr>
            <w:r>
              <w:t xml:space="preserve">06</w:t>
            </w:r>
          </w:p>
        </w:tc>
        <w:tc>
          <w:tcPr/>
          <w:p>
            <w:pPr>
              <w:pStyle w:val="Compact"/>
              <w:jc w:val="left"/>
            </w:pPr>
            <w:r>
              <w:t xml:space="preserve">Supply of sharp sand and 20mm aggregate for mason mortar and concrete mixing</w:t>
            </w:r>
          </w:p>
        </w:tc>
        <w:tc>
          <w:tcPr/>
          <w:p>
            <w:pPr>
              <w:pStyle w:val="Compact"/>
              <w:jc w:val="left"/>
            </w:pPr>
            <w:r>
              <w:t xml:space="preserve">m³</w:t>
            </w:r>
          </w:p>
        </w:tc>
        <w:tc>
          <w:tcPr/>
          <w:p>
            <w:pPr>
              <w:pStyle w:val="Compact"/>
              <w:jc w:val="left"/>
            </w:pPr>
            <w:r>
              <w:t xml:space="preserve">520</w:t>
            </w:r>
          </w:p>
        </w:tc>
        <w:tc>
          <w:tcPr/>
          <w:p>
            <w:pPr>
              <w:pStyle w:val="Compact"/>
              <w:jc w:val="left"/>
            </w:pPr>
            <w:r>
              <w:t xml:space="preserve">3,800</w:t>
            </w:r>
          </w:p>
        </w:tc>
        <w:tc>
          <w:tcPr/>
          <w:p>
            <w:pPr>
              <w:pStyle w:val="Compact"/>
              <w:jc w:val="left"/>
            </w:pPr>
            <w:r>
              <w:t xml:space="preserve">1,976,000</w:t>
            </w:r>
          </w:p>
        </w:tc>
      </w:tr>
      <w:tr>
        <w:tc>
          <w:tcPr/>
          <w:p>
            <w:pPr>
              <w:pStyle w:val="Compact"/>
              <w:jc w:val="left"/>
            </w:pPr>
            <w:r>
              <w:t xml:space="preserve">07</w:t>
            </w:r>
          </w:p>
        </w:tc>
        <w:tc>
          <w:tcPr/>
          <w:p>
            <w:pPr>
              <w:pStyle w:val="Compact"/>
              <w:jc w:val="left"/>
            </w:pPr>
            <w:r>
              <w:t xml:space="preserve">Supply and installation of mason lintels, window sills, and door frames (precast concrete elements)</w:t>
            </w:r>
          </w:p>
        </w:tc>
        <w:tc>
          <w:tcPr/>
          <w:p>
            <w:pPr>
              <w:pStyle w:val="Compact"/>
              <w:jc w:val="left"/>
            </w:pPr>
            <w:r>
              <w:t xml:space="preserve">Set</w:t>
            </w:r>
          </w:p>
        </w:tc>
        <w:tc>
          <w:tcPr/>
          <w:p>
            <w:pPr>
              <w:pStyle w:val="Compact"/>
              <w:jc w:val="left"/>
            </w:pPr>
            <w:r>
              <w:t xml:space="preserve">185</w:t>
            </w:r>
          </w:p>
        </w:tc>
        <w:tc>
          <w:tcPr/>
          <w:p>
            <w:pPr>
              <w:pStyle w:val="Compact"/>
              <w:jc w:val="left"/>
            </w:pPr>
            <w:r>
              <w:t xml:space="preserve">6,500</w:t>
            </w:r>
          </w:p>
        </w:tc>
        <w:tc>
          <w:tcPr/>
          <w:p>
            <w:pPr>
              <w:pStyle w:val="Compact"/>
              <w:jc w:val="left"/>
            </w:pPr>
            <w:r>
              <w:t xml:space="preserve">1,202,500</w:t>
            </w:r>
          </w:p>
        </w:tc>
      </w:tr>
      <w:tr>
        <w:tc>
          <w:tcPr/>
          <w:p>
            <w:pPr>
              <w:pStyle w:val="Compact"/>
              <w:jc w:val="left"/>
            </w:pPr>
            <w:r>
              <w:t xml:space="preserve">08</w:t>
            </w:r>
          </w:p>
        </w:tc>
        <w:tc>
          <w:tcPr/>
          <w:p>
            <w:pPr>
              <w:pStyle w:val="Compact"/>
              <w:jc w:val="left"/>
            </w:pPr>
            <w:r>
              <w:t xml:space="preserve">Waterproofing and damp-proof course (DPC) installation for mason walls at ground level, Nairobi project site</w:t>
            </w:r>
          </w:p>
        </w:tc>
        <w:tc>
          <w:tcPr/>
          <w:p>
            <w:pPr>
              <w:pStyle w:val="Compact"/>
              <w:jc w:val="left"/>
            </w:pPr>
            <w:r>
              <w:t xml:space="preserve">m²</w:t>
            </w:r>
          </w:p>
        </w:tc>
        <w:tc>
          <w:tcPr/>
          <w:p>
            <w:pPr>
              <w:pStyle w:val="Compact"/>
              <w:jc w:val="left"/>
            </w:pPr>
            <w:r>
              <w:t xml:space="preserve">1,250</w:t>
            </w:r>
          </w:p>
        </w:tc>
        <w:tc>
          <w:tcPr/>
          <w:p>
            <w:pPr>
              <w:pStyle w:val="Compact"/>
              <w:jc w:val="left"/>
            </w:pPr>
            <w:r>
              <w:t xml:space="preserve">950</w:t>
            </w:r>
          </w:p>
        </w:tc>
        <w:tc>
          <w:tcPr/>
          <w:p>
            <w:pPr>
              <w:pStyle w:val="Compact"/>
              <w:jc w:val="left"/>
            </w:pPr>
            <w:r>
              <w:t xml:space="preserve">1,187,500</w:t>
            </w:r>
          </w:p>
        </w:tc>
      </w:tr>
      <w:tr>
        <w:tc>
          <w:tcPr/>
          <w:p>
            <w:pPr>
              <w:pStyle w:val="Compact"/>
              <w:jc w:val="left"/>
            </w:pPr>
            <w:r>
              <w:t xml:space="preserve">09</w:t>
            </w:r>
          </w:p>
        </w:tc>
        <w:tc>
          <w:tcPr/>
          <w:p>
            <w:pPr>
              <w:pStyle w:val="Compact"/>
              <w:jc w:val="left"/>
            </w:pPr>
            <w:r>
              <w:t xml:space="preserve">Skilled mason labour (foreman, 12 masons, 8 helpers) – full project duration of 14 weeks</w:t>
            </w:r>
          </w:p>
        </w:tc>
        <w:tc>
          <w:tcPr/>
          <w:p>
            <w:pPr>
              <w:pStyle w:val="Compact"/>
              <w:jc w:val="left"/>
            </w:pPr>
            <w:r>
              <w:t xml:space="preserve">Week</w:t>
            </w:r>
          </w:p>
        </w:tc>
        <w:tc>
          <w:tcPr/>
          <w:p>
            <w:pPr>
              <w:pStyle w:val="Compact"/>
              <w:jc w:val="left"/>
            </w:pPr>
            <w:r>
              <w:t xml:space="preserve">14</w:t>
            </w:r>
          </w:p>
        </w:tc>
        <w:tc>
          <w:tcPr/>
          <w:p>
            <w:pPr>
              <w:pStyle w:val="Compact"/>
              <w:jc w:val="left"/>
            </w:pPr>
            <w:r>
              <w:t xml:space="preserve">485,000</w:t>
            </w:r>
          </w:p>
        </w:tc>
        <w:tc>
          <w:tcPr/>
          <w:p>
            <w:pPr>
              <w:pStyle w:val="Compact"/>
              <w:jc w:val="left"/>
            </w:pPr>
            <w:r>
              <w:t xml:space="preserve">6,790,000</w:t>
            </w:r>
          </w:p>
        </w:tc>
      </w:tr>
      <w:tr>
        <w:tc>
          <w:tcPr/>
          <w:p>
            <w:pPr>
              <w:pStyle w:val="Compact"/>
              <w:jc w:val="left"/>
            </w:pPr>
            <w:r>
              <w:t xml:space="preserve">10</w:t>
            </w:r>
          </w:p>
        </w:tc>
        <w:tc>
          <w:tcPr/>
          <w:p>
            <w:pPr>
              <w:pStyle w:val="Compact"/>
              <w:jc w:val="left"/>
            </w:pPr>
            <w:r>
              <w:t xml:space="preserve">Site supervision, quality inspection, and NCA compliance reporting for all mason works in Nairobi</w:t>
            </w:r>
          </w:p>
        </w:tc>
        <w:tc>
          <w:tcPr/>
          <w:p>
            <w:pPr>
              <w:pStyle w:val="Compact"/>
              <w:jc w:val="left"/>
            </w:pPr>
            <w:r>
              <w:t xml:space="preserve">Week</w:t>
            </w:r>
          </w:p>
        </w:tc>
        <w:tc>
          <w:tcPr/>
          <w:p>
            <w:pPr>
              <w:pStyle w:val="Compact"/>
              <w:jc w:val="left"/>
            </w:pPr>
            <w:r>
              <w:t xml:space="preserve">14</w:t>
            </w:r>
          </w:p>
        </w:tc>
        <w:tc>
          <w:tcPr/>
          <w:p>
            <w:pPr>
              <w:pStyle w:val="Compact"/>
              <w:jc w:val="left"/>
            </w:pPr>
            <w:r>
              <w:t xml:space="preserve">85,000</w:t>
            </w:r>
          </w:p>
        </w:tc>
        <w:tc>
          <w:tcPr/>
          <w:p>
            <w:pPr>
              <w:pStyle w:val="Compact"/>
              <w:jc w:val="left"/>
            </w:pPr>
            <w:r>
              <w:t xml:space="preserve">1,190,000</w:t>
            </w:r>
          </w:p>
        </w:tc>
      </w:tr>
      <w:tr>
        <w:tc>
          <w:tcPr>
            <w:gridSpan w:val="5"/>
          </w:tcPr>
          <w:p>
            <w:pPr>
              <w:pStyle w:val="Compact"/>
              <w:jc w:val="right"/>
            </w:pPr>
            <w:r>
              <w:t xml:space="preserve">SUBTOTAL (KES)</w:t>
            </w:r>
          </w:p>
        </w:tc>
        <w:tc>
          <w:tcPr/>
          <w:p>
            <w:pPr>
              <w:pStyle w:val="Compact"/>
              <w:jc w:val="left"/>
            </w:pPr>
            <w:r>
              <w:t xml:space="preserve">36,693,500</w:t>
            </w:r>
          </w:p>
        </w:tc>
      </w:tr>
      <w:tr>
        <w:tc>
          <w:tcPr>
            <w:gridSpan w:val="5"/>
          </w:tcPr>
          <w:p>
            <w:pPr>
              <w:pStyle w:val="Compact"/>
              <w:jc w:val="right"/>
            </w:pPr>
            <w:r>
              <w:t xml:space="preserve">VAT @ 16% (KES)</w:t>
            </w:r>
          </w:p>
        </w:tc>
        <w:tc>
          <w:tcPr/>
          <w:p>
            <w:pPr>
              <w:pStyle w:val="Compact"/>
              <w:jc w:val="left"/>
            </w:pPr>
            <w:r>
              <w:t xml:space="preserve">5,870,960</w:t>
            </w:r>
          </w:p>
        </w:tc>
      </w:tr>
      <w:tr>
        <w:tc>
          <w:tcPr>
            <w:gridSpan w:val="5"/>
          </w:tcPr>
          <w:p>
            <w:pPr>
              <w:pStyle w:val="Compact"/>
              <w:jc w:val="right"/>
            </w:pPr>
            <w:r>
              <w:t xml:space="preserve">GRAND TOTAL (KES)</w:t>
            </w:r>
          </w:p>
        </w:tc>
        <w:tc>
          <w:tcPr/>
          <w:p>
            <w:pPr>
              <w:pStyle w:val="Compact"/>
              <w:jc w:val="left"/>
            </w:pPr>
            <w:r>
              <w:t xml:space="preserve">42,564,460</w:t>
            </w:r>
          </w:p>
        </w:tc>
      </w:tr>
    </w:tbl>
    <w:p>
      <w:pPr>
        <w:pStyle w:val="BodyText"/>
      </w:pPr>
      <w:r>
        <w:t xml:space="preserve">3. TERMS AND CONDITIONS</w:t>
      </w:r>
    </w:p>
    <w:bookmarkStart w:id="21" w:name="X06cfce17eb593cdb6d21ac9af91090e4b0f77ef"/>
    <w:p>
      <w:pPr>
        <w:pStyle w:val="Heading3"/>
      </w:pPr>
      <w:r>
        <w:t xml:space="preserve">General Terms Governing This Purchase Order</w:t>
      </w:r>
    </w:p>
    <w:p>
      <w:pPr>
        <w:numPr>
          <w:ilvl w:val="0"/>
          <w:numId w:val="1001"/>
        </w:numPr>
        <w:pStyle w:val="Compact"/>
      </w:pPr>
      <w:r>
        <w:rPr>
          <w:bCs/>
          <w:b/>
        </w:rPr>
        <w:t xml:space="preserve">Scope of Mason Work:</w:t>
      </w:r>
      <w:r>
        <w:t xml:space="preserve"> </w:t>
      </w:r>
      <w:r>
        <w:t xml:space="preserve">StoneCraft Masonry Services Ltd. shall execute all mason and masonry works as specified in Section 2 of this Purchase Order at the Nairobi West Residential Complex site in Muthaiga, Nairobi, Kenya. No additional mason work shall be performed without a written variation order signed by both parties.</w:t>
      </w:r>
    </w:p>
    <w:p>
      <w:pPr>
        <w:numPr>
          <w:ilvl w:val="0"/>
          <w:numId w:val="1001"/>
        </w:numPr>
        <w:pStyle w:val="Compact"/>
      </w:pPr>
      <w:r>
        <w:rPr>
          <w:bCs/>
          <w:b/>
        </w:rPr>
        <w:t xml:space="preserve">Commencement and Completion:</w:t>
      </w:r>
      <w:r>
        <w:t xml:space="preserve"> </w:t>
      </w:r>
      <w:r>
        <w:t xml:space="preserve">The mason contractor shall mobilise all personnel, tools, and materials to the Nairobi site within five (5) working days of the date of this Purchase Order. The total project duration for all mason works is fourteen (14) calendar weeks from the date of mobilisation.</w:t>
      </w:r>
    </w:p>
    <w:p>
      <w:pPr>
        <w:numPr>
          <w:ilvl w:val="0"/>
          <w:numId w:val="1001"/>
        </w:numPr>
        <w:pStyle w:val="Compact"/>
      </w:pPr>
      <w:r>
        <w:rPr>
          <w:bCs/>
          <w:b/>
        </w:rPr>
        <w:t xml:space="preserve">Payment Terms:</w:t>
      </w:r>
      <w:r>
        <w:t xml:space="preserve"> </w:t>
      </w:r>
      <w:r>
        <w:t xml:space="preserve">Payment shall be made in three (3) milestones: 30% upon completion of foundation and ground beam concrete works; 40% upon completion of all brickwork and blockwork; and 30% upon final inspection, NCA sign-off, and handover of all mason works. Payments shall be processed via bank transfer to the vendor's designated account in Kenya within fourteen (14) days of invoice approval.</w:t>
      </w:r>
    </w:p>
    <w:p>
      <w:pPr>
        <w:numPr>
          <w:ilvl w:val="0"/>
          <w:numId w:val="1001"/>
        </w:numPr>
        <w:pStyle w:val="Compact"/>
      </w:pPr>
      <w:r>
        <w:rPr>
          <w:bCs/>
          <w:b/>
        </w:rPr>
        <w:t xml:space="preserve">Quality and Compliance:</w:t>
      </w:r>
      <w:r>
        <w:t xml:space="preserve"> </w:t>
      </w:r>
      <w:r>
        <w:t xml:space="preserve">All mason work must conform to Kenyan Building Codes, NCA regulations, and the project specifications. The mason contractor shall provide material test certificates for cement, rebar, and concrete mix designs. Any non-conforming mason work shall be rectified at the contractor's own cost within forty-eight (48) hours of notification.</w:t>
      </w:r>
    </w:p>
    <w:p>
      <w:pPr>
        <w:numPr>
          <w:ilvl w:val="0"/>
          <w:numId w:val="1001"/>
        </w:numPr>
        <w:pStyle w:val="Compact"/>
      </w:pPr>
      <w:r>
        <w:rPr>
          <w:bCs/>
          <w:b/>
        </w:rPr>
        <w:t xml:space="preserve">Health, Safety, and Environment (HSE):</w:t>
      </w:r>
      <w:r>
        <w:t xml:space="preserve"> </w:t>
      </w:r>
      <w:r>
        <w:t xml:space="preserve">The mason contractor shall comply with all Occupational Safety and Health Act (OSHA) requirements of Kenya. All mason workers on the Nairobi site must wear appropriate personal protective equipment (PPE). The contractor shall maintain a valid Workmen's Compensation Insurance policy for all mason personnel throughout the project duration.</w:t>
      </w:r>
    </w:p>
    <w:p>
      <w:pPr>
        <w:numPr>
          <w:ilvl w:val="0"/>
          <w:numId w:val="1001"/>
        </w:numPr>
        <w:pStyle w:val="Compact"/>
      </w:pPr>
      <w:r>
        <w:rPr>
          <w:bCs/>
          <w:b/>
        </w:rPr>
        <w:t xml:space="preserve">Local Sourcing:</w:t>
      </w:r>
      <w:r>
        <w:t xml:space="preserve"> </w:t>
      </w:r>
      <w:r>
        <w:t xml:space="preserve">In line with the Kenyan government's local content policy, the mason contractor shall source a minimum of 70% of all mason materials (bricks, blocks, sand, aggregate, cement) from registered suppliers within Nairobi and the Nairobi County region.</w:t>
      </w:r>
    </w:p>
    <w:p>
      <w:pPr>
        <w:numPr>
          <w:ilvl w:val="0"/>
          <w:numId w:val="1001"/>
        </w:numPr>
        <w:pStyle w:val="Compact"/>
      </w:pPr>
      <w:r>
        <w:rPr>
          <w:bCs/>
          <w:b/>
        </w:rPr>
        <w:t xml:space="preserve">Warranty:</w:t>
      </w:r>
      <w:r>
        <w:t xml:space="preserve"> </w:t>
      </w:r>
      <w:r>
        <w:t xml:space="preserve">The mason contractor provides a twelve (12) month warranty on all mason and masonry works from the date of final acceptance. Any defects in brickwork, blockwork, concrete, or plastering arising within this period shall be repaired at no additional cost to Eastgate Construction &amp; Development Ltd.</w:t>
      </w:r>
    </w:p>
    <w:p>
      <w:pPr>
        <w:numPr>
          <w:ilvl w:val="0"/>
          <w:numId w:val="1001"/>
        </w:numPr>
        <w:pStyle w:val="Compact"/>
      </w:pPr>
      <w:r>
        <w:rPr>
          <w:bCs/>
          <w:b/>
        </w:rPr>
        <w:t xml:space="preserve">Dispute Resolution:</w:t>
      </w:r>
      <w:r>
        <w:t xml:space="preserve"> </w:t>
      </w:r>
      <w:r>
        <w:t xml:space="preserve">Any disputes arising from this Purchase Order shall first be resolved through amicable negotiation. If unresolved within thirty (30) days, the matter shall be referred to arbitration under the Arbitration Act of Kenya, with the seat of arbitration in Nairobi, Kenya.</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Republic of Kenya.</w:t>
      </w:r>
    </w:p>
    <w:bookmarkEnd w:id="21"/>
    <w:p>
      <w:pPr>
        <w:pStyle w:val="FirstParagraph"/>
      </w:pPr>
      <w:r>
        <w:t xml:space="preserve">4. ACCEPTANCE AND AUTHORITY</w:t>
      </w:r>
    </w:p>
    <w:p>
      <w:pPr>
        <w:pStyle w:val="BodyText"/>
      </w:pPr>
      <w:r>
        <w:t xml:space="preserve">By signing below, both parties acknowledge and agree to all terms, conditions, and specifications set forth in this Purchase Order for the mason works at the Nairobi West Residential Complex, Phase II, Nairobi, Kenya. This document constitutes a binding agreement between Eastgate Construction &amp; Development Ltd. and StoneCraft Masonry Services Ltd. effective from the date of the last signature.</w:t>
      </w:r>
    </w:p>
    <w:p>
      <w:pPr>
        <w:pStyle w:val="BodyText"/>
      </w:pPr>
      <w:r>
        <w:rPr>
          <w:bCs/>
          <w:b/>
        </w:rPr>
        <w:t xml:space="preserve">For and on behalf of:</w:t>
      </w:r>
      <w:r>
        <w:br/>
      </w:r>
      <w:r>
        <w:t xml:space="preserve">Eastgate Construction &amp; Development Ltd.</w:t>
      </w:r>
    </w:p>
    <w:p>
      <w:pPr>
        <w:pStyle w:val="BodyText"/>
      </w:pPr>
      <w:r>
        <w:rPr>
          <w:bCs/>
          <w:b/>
        </w:rPr>
        <w:t xml:space="preserve">Name:</w:t>
      </w:r>
      <w:r>
        <w:t xml:space="preserve"> </w:t>
      </w:r>
      <w:r>
        <w:t xml:space="preserve">Mr. David Mwangi</w:t>
      </w:r>
      <w:r>
        <w:br/>
      </w:r>
      <w:r>
        <w:rPr>
          <w:bCs/>
          <w:b/>
        </w:rPr>
        <w:t xml:space="preserve">Title:</w:t>
      </w:r>
      <w:r>
        <w:t xml:space="preserve"> </w:t>
      </w:r>
      <w:r>
        <w:t xml:space="preserve">Procurement Director</w:t>
      </w:r>
      <w:r>
        <w:br/>
      </w:r>
      <w:r>
        <w:rPr>
          <w:bCs/>
          <w:b/>
        </w:rPr>
        <w:t xml:space="preserve">Signature:</w:t>
      </w:r>
      <w:r>
        <w:t xml:space="preserve"> </w:t>
      </w:r>
      <w:r>
        <w:t xml:space="preserve">_________________________</w:t>
      </w:r>
      <w:r>
        <w:br/>
      </w:r>
      <w:r>
        <w:rPr>
          <w:bCs/>
          <w:b/>
        </w:rPr>
        <w:t xml:space="preserve">Date:</w:t>
      </w:r>
      <w:r>
        <w:t xml:space="preserve"> </w:t>
      </w:r>
      <w:r>
        <w:t xml:space="preserve">_______________</w:t>
      </w:r>
    </w:p>
    <w:p>
      <w:pPr>
        <w:pStyle w:val="BodyText"/>
      </w:pPr>
      <w:r>
        <w:rPr>
          <w:bCs/>
          <w:b/>
        </w:rPr>
        <w:t xml:space="preserve">For and on behalf of:</w:t>
      </w:r>
      <w:r>
        <w:br/>
      </w:r>
      <w:r>
        <w:t xml:space="preserve">StoneCraft Masonry Services Ltd.</w:t>
      </w:r>
    </w:p>
    <w:p>
      <w:pPr>
        <w:pStyle w:val="BodyText"/>
      </w:pPr>
      <w:r>
        <w:rPr>
          <w:bCs/>
          <w:b/>
        </w:rPr>
        <w:t xml:space="preserve">Name:</w:t>
      </w:r>
      <w:r>
        <w:t xml:space="preserve"> </w:t>
      </w:r>
      <w:r>
        <w:t xml:space="preserve">Ms. Amina Hassan</w:t>
      </w:r>
      <w:r>
        <w:br/>
      </w:r>
      <w:r>
        <w:rPr>
          <w:bCs/>
          <w:b/>
        </w:rPr>
        <w:t xml:space="preserve">Title:</w:t>
      </w:r>
      <w:r>
        <w:t xml:space="preserve"> </w:t>
      </w:r>
      <w:r>
        <w:t xml:space="preserve">Managing Director</w:t>
      </w:r>
      <w:r>
        <w:br/>
      </w:r>
      <w:r>
        <w:rPr>
          <w:bCs/>
          <w:b/>
        </w:rPr>
        <w:t xml:space="preserve">Signature:</w:t>
      </w:r>
      <w:r>
        <w:t xml:space="preserve"> </w:t>
      </w:r>
      <w:r>
        <w:t xml:space="preserve">_________________________</w:t>
      </w:r>
      <w:r>
        <w:br/>
      </w:r>
      <w:r>
        <w:rPr>
          <w:bCs/>
          <w:b/>
        </w:rPr>
        <w:t xml:space="preserve">Date:</w:t>
      </w:r>
      <w:r>
        <w:t xml:space="preserve"> </w:t>
      </w:r>
      <w:r>
        <w:t xml:space="preserve">_______________</w:t>
      </w:r>
    </w:p>
    <w:p>
      <w:pPr>
        <w:pStyle w:val="BodyText"/>
      </w:pPr>
      <w:r>
        <w:t xml:space="preserve">Purchase Order No. PO-ENB-2025-0487 | Eastgate Construction &amp; Development Ltd. | Nairobi, Kenya</w:t>
      </w:r>
    </w:p>
    <w:p>
      <w:pPr>
        <w:pStyle w:val="BodyText"/>
      </w:pPr>
      <w:r>
        <w:t xml:space="preserve">This document is the property of Eastgate Construction &amp; Development Ltd. Unauthorized reproduction or distribution is prohibited under Kenyan law.</w:t>
      </w:r>
    </w:p>
    <w:p>
      <w:pPr>
        <w:pStyle w:val="BodyText"/>
      </w:pPr>
      <w:r>
        <w:t xml:space="preserve">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Mason Services - Kenya Nairobi</dc:title>
  <dc:creator/>
  <dc:language>en</dc:language>
  <cp:keywords/>
  <dcterms:created xsi:type="dcterms:W3CDTF">2026-10-10T01:06:16Z</dcterms:created>
  <dcterms:modified xsi:type="dcterms:W3CDTF">2026-10-10T01:06:16Z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